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426" w:type="dxa"/>
        <w:tblLayout w:type="fixed"/>
        <w:tblLook w:val="0000" w:firstRow="0" w:lastRow="0" w:firstColumn="0" w:lastColumn="0" w:noHBand="0" w:noVBand="0"/>
      </w:tblPr>
      <w:tblGrid>
        <w:gridCol w:w="675"/>
        <w:gridCol w:w="8931"/>
      </w:tblGrid>
      <w:tr w:rsidR="00065DAD" w:rsidRPr="00FB33EF" w14:paraId="14DFC156" w14:textId="77777777" w:rsidTr="001011AE">
        <w:tc>
          <w:tcPr>
            <w:tcW w:w="9606" w:type="dxa"/>
            <w:gridSpan w:val="2"/>
            <w:shd w:val="clear" w:color="auto" w:fill="auto"/>
          </w:tcPr>
          <w:p w14:paraId="062A03C8" w14:textId="77777777" w:rsidR="00065DAD" w:rsidRPr="00FB33EF" w:rsidRDefault="00065DAD" w:rsidP="001011AE">
            <w:pPr>
              <w:pStyle w:val="2"/>
              <w:ind w:left="0" w:firstLine="0"/>
              <w:jc w:val="center"/>
              <w:rPr>
                <w:rFonts w:eastAsia="Times New Roman"/>
                <w:caps/>
                <w:kern w:val="0"/>
              </w:rPr>
            </w:pPr>
            <w:bookmarkStart w:id="0" w:name="_Ref496793369"/>
            <w:r w:rsidRPr="00FB33EF">
              <w:rPr>
                <w:rFonts w:eastAsia="Times New Roman"/>
                <w:caps/>
                <w:kern w:val="0"/>
              </w:rPr>
              <w:t xml:space="preserve">Примерный </w:t>
            </w:r>
            <w:r w:rsidRPr="00FB33EF">
              <w:rPr>
                <w:caps/>
                <w:kern w:val="0"/>
              </w:rPr>
              <w:t>ПЕРЕЧЕНЬ ДОКУМЕНТОВ, НЕОБХОДИМЫХ ДЛЯ РАССМОТРЕНИЯ ЗАЯВКИ НА УСТАНОВЛЕНИЕ ЛИМИТА ФАКТОРИНГОВЫХ ОПЕРАЦИЙ</w:t>
            </w:r>
            <w:bookmarkEnd w:id="0"/>
          </w:p>
        </w:tc>
      </w:tr>
      <w:tr w:rsidR="00065DAD" w:rsidRPr="00236232" w14:paraId="2CDD1666" w14:textId="77777777" w:rsidTr="001011AE">
        <w:tc>
          <w:tcPr>
            <w:tcW w:w="9606" w:type="dxa"/>
            <w:gridSpan w:val="2"/>
            <w:shd w:val="clear" w:color="auto" w:fill="auto"/>
          </w:tcPr>
          <w:p w14:paraId="6708C420" w14:textId="77777777" w:rsidR="00065DAD" w:rsidRPr="00236232" w:rsidRDefault="00065DAD" w:rsidP="001011AE"/>
          <w:p w14:paraId="5658EF31" w14:textId="77777777" w:rsidR="00065DAD" w:rsidRPr="00236232" w:rsidRDefault="00065DAD" w:rsidP="001011AE">
            <w:r w:rsidRPr="00236232">
              <w:t>Данный перечень не является окончательным, Банк вправе затребовать дополнительную информацию.</w:t>
            </w:r>
          </w:p>
        </w:tc>
      </w:tr>
      <w:tr w:rsidR="00065DAD" w:rsidRPr="00236232" w14:paraId="7D564DB9" w14:textId="77777777" w:rsidTr="001011AE">
        <w:tc>
          <w:tcPr>
            <w:tcW w:w="9606" w:type="dxa"/>
            <w:gridSpan w:val="2"/>
            <w:shd w:val="clear" w:color="auto" w:fill="auto"/>
          </w:tcPr>
          <w:p w14:paraId="38B11A9A" w14:textId="77777777" w:rsidR="00065DAD" w:rsidRPr="00236232" w:rsidRDefault="00065DAD" w:rsidP="001011AE"/>
        </w:tc>
      </w:tr>
      <w:tr w:rsidR="00065DAD" w:rsidRPr="00236232" w14:paraId="0788819C" w14:textId="77777777" w:rsidTr="001011AE">
        <w:tc>
          <w:tcPr>
            <w:tcW w:w="675" w:type="dxa"/>
            <w:shd w:val="clear" w:color="auto" w:fill="auto"/>
          </w:tcPr>
          <w:p w14:paraId="72F0B2DB" w14:textId="77777777" w:rsidR="00065DAD" w:rsidRPr="00236232" w:rsidRDefault="00065DAD" w:rsidP="001011AE">
            <w:pPr>
              <w:jc w:val="center"/>
            </w:pPr>
            <w:r w:rsidRPr="00236232">
              <w:t>1</w:t>
            </w:r>
          </w:p>
        </w:tc>
        <w:tc>
          <w:tcPr>
            <w:tcW w:w="8931" w:type="dxa"/>
            <w:shd w:val="clear" w:color="auto" w:fill="auto"/>
          </w:tcPr>
          <w:p w14:paraId="170A771E" w14:textId="77777777" w:rsidR="00065DAD" w:rsidRPr="00236232" w:rsidRDefault="00065DAD" w:rsidP="001011AE">
            <w:pPr>
              <w:tabs>
                <w:tab w:val="left" w:pos="1134"/>
              </w:tabs>
              <w:ind w:firstLine="284"/>
              <w:jc w:val="both"/>
            </w:pPr>
            <w:r w:rsidRPr="00236232">
              <w:t>Анкета-Заявка по форме Банка;</w:t>
            </w:r>
          </w:p>
        </w:tc>
      </w:tr>
      <w:tr w:rsidR="00065DAD" w:rsidRPr="00236232" w14:paraId="31E6F539" w14:textId="77777777" w:rsidTr="001011AE">
        <w:tc>
          <w:tcPr>
            <w:tcW w:w="675" w:type="dxa"/>
            <w:shd w:val="clear" w:color="auto" w:fill="auto"/>
          </w:tcPr>
          <w:p w14:paraId="1AE0EAA2" w14:textId="77777777" w:rsidR="00065DAD" w:rsidRPr="00236232" w:rsidRDefault="00065DAD" w:rsidP="001011AE">
            <w:pPr>
              <w:jc w:val="center"/>
            </w:pPr>
            <w:r w:rsidRPr="00236232">
              <w:t>2</w:t>
            </w:r>
          </w:p>
        </w:tc>
        <w:tc>
          <w:tcPr>
            <w:tcW w:w="8931" w:type="dxa"/>
            <w:shd w:val="clear" w:color="auto" w:fill="auto"/>
          </w:tcPr>
          <w:p w14:paraId="4195FBBA" w14:textId="77777777" w:rsidR="00065DAD" w:rsidRPr="00236232" w:rsidRDefault="00065DAD" w:rsidP="001011AE">
            <w:pPr>
              <w:ind w:firstLine="284"/>
              <w:jc w:val="both"/>
            </w:pPr>
            <w:r w:rsidRPr="00236232">
              <w:t>Извещение на Дебитора (ов), передаваемого(ых) на факторинговое обслуживание по форме Банка;</w:t>
            </w:r>
          </w:p>
        </w:tc>
      </w:tr>
      <w:tr w:rsidR="00065DAD" w:rsidRPr="00236232" w14:paraId="3F98BD07" w14:textId="77777777" w:rsidTr="001011AE">
        <w:tc>
          <w:tcPr>
            <w:tcW w:w="675" w:type="dxa"/>
            <w:shd w:val="clear" w:color="auto" w:fill="auto"/>
          </w:tcPr>
          <w:p w14:paraId="045A5FB5" w14:textId="77777777" w:rsidR="00065DAD" w:rsidRPr="00236232" w:rsidRDefault="00065DAD" w:rsidP="001011AE">
            <w:pPr>
              <w:jc w:val="center"/>
            </w:pPr>
            <w:r w:rsidRPr="00236232">
              <w:t>3</w:t>
            </w:r>
          </w:p>
          <w:p w14:paraId="1A16479F" w14:textId="77777777" w:rsidR="00065DAD" w:rsidRPr="00236232" w:rsidRDefault="00065DAD" w:rsidP="001011AE">
            <w:pPr>
              <w:jc w:val="center"/>
            </w:pPr>
          </w:p>
          <w:p w14:paraId="63C66052" w14:textId="77777777" w:rsidR="00065DAD" w:rsidRPr="00236232" w:rsidRDefault="00065DAD" w:rsidP="001011AE">
            <w:pPr>
              <w:jc w:val="center"/>
            </w:pPr>
          </w:p>
          <w:p w14:paraId="4C6A2785" w14:textId="77777777" w:rsidR="00065DAD" w:rsidRPr="00236232" w:rsidRDefault="00065DAD" w:rsidP="001011AE">
            <w:pPr>
              <w:jc w:val="center"/>
            </w:pPr>
          </w:p>
          <w:p w14:paraId="1F7AEB37" w14:textId="77777777" w:rsidR="00065DAD" w:rsidRPr="00236232" w:rsidRDefault="00065DAD" w:rsidP="001011AE">
            <w:pPr>
              <w:jc w:val="center"/>
            </w:pPr>
          </w:p>
          <w:p w14:paraId="499E64E9" w14:textId="77777777" w:rsidR="00065DAD" w:rsidRPr="00236232" w:rsidRDefault="00065DAD" w:rsidP="001011AE">
            <w:pPr>
              <w:jc w:val="center"/>
            </w:pPr>
          </w:p>
          <w:p w14:paraId="5C9226DE" w14:textId="77777777" w:rsidR="00065DAD" w:rsidRPr="00236232" w:rsidRDefault="00065DAD" w:rsidP="001011AE">
            <w:pPr>
              <w:jc w:val="center"/>
            </w:pPr>
            <w:r w:rsidRPr="00236232">
              <w:t>4</w:t>
            </w:r>
          </w:p>
        </w:tc>
        <w:tc>
          <w:tcPr>
            <w:tcW w:w="8931" w:type="dxa"/>
            <w:shd w:val="clear" w:color="auto" w:fill="auto"/>
          </w:tcPr>
          <w:p w14:paraId="6DEA05E3" w14:textId="77777777" w:rsidR="00065DAD" w:rsidRPr="00236232" w:rsidRDefault="00065DAD" w:rsidP="001011AE">
            <w:pPr>
              <w:tabs>
                <w:tab w:val="left" w:pos="1134"/>
              </w:tabs>
              <w:ind w:firstLine="284"/>
              <w:jc w:val="both"/>
            </w:pPr>
            <w:r w:rsidRPr="00236232">
              <w:t xml:space="preserve">Характеристика бизнеса в свободной форме с указанием время начала работы, этапах развития, расположении офиса, представительств, отделов продаж и пр., видах деятельности, реализуемой продукции / оказываемых услуг, </w:t>
            </w:r>
            <w:r>
              <w:t xml:space="preserve">сведения об </w:t>
            </w:r>
            <w:r w:rsidRPr="00236232">
              <w:t>основных</w:t>
            </w:r>
            <w:r>
              <w:t xml:space="preserve"> контрагентах -</w:t>
            </w:r>
            <w:r w:rsidRPr="00236232">
              <w:t xml:space="preserve"> поставщиках / покупателях, наличии филиалов / представительств, основных конкурентов, арендуемых объектов недвижимости, транспорта, оборудования и прочее;</w:t>
            </w:r>
          </w:p>
          <w:p w14:paraId="45F0BD3E" w14:textId="77777777" w:rsidR="00065DAD" w:rsidRPr="00236232" w:rsidRDefault="00065DAD" w:rsidP="001011AE">
            <w:pPr>
              <w:tabs>
                <w:tab w:val="left" w:pos="142"/>
                <w:tab w:val="left" w:pos="1134"/>
              </w:tabs>
              <w:ind w:firstLine="351"/>
              <w:jc w:val="both"/>
            </w:pPr>
            <w:r w:rsidRPr="00236232">
              <w:t>Портфель контрактов, действующий на текущую дату по форме Банка (при наличии);</w:t>
            </w:r>
          </w:p>
        </w:tc>
      </w:tr>
      <w:tr w:rsidR="00065DAD" w:rsidRPr="00236232" w14:paraId="60FF77DF" w14:textId="77777777" w:rsidTr="001011AE">
        <w:tc>
          <w:tcPr>
            <w:tcW w:w="675" w:type="dxa"/>
            <w:shd w:val="clear" w:color="auto" w:fill="auto"/>
          </w:tcPr>
          <w:p w14:paraId="619896A6" w14:textId="77777777" w:rsidR="00065DAD" w:rsidRPr="00236232" w:rsidRDefault="00065DAD" w:rsidP="001011AE">
            <w:pPr>
              <w:jc w:val="center"/>
            </w:pPr>
            <w:r w:rsidRPr="00236232">
              <w:t>5</w:t>
            </w:r>
          </w:p>
        </w:tc>
        <w:tc>
          <w:tcPr>
            <w:tcW w:w="8931" w:type="dxa"/>
            <w:shd w:val="clear" w:color="auto" w:fill="auto"/>
          </w:tcPr>
          <w:p w14:paraId="35D847BB" w14:textId="77777777" w:rsidR="00065DAD" w:rsidRPr="00236232" w:rsidRDefault="00065DAD" w:rsidP="001011AE">
            <w:pPr>
              <w:widowControl/>
              <w:tabs>
                <w:tab w:val="left" w:pos="426"/>
                <w:tab w:val="left" w:pos="1134"/>
              </w:tabs>
              <w:suppressAutoHyphens w:val="0"/>
              <w:ind w:firstLine="351"/>
              <w:jc w:val="both"/>
            </w:pPr>
            <w:r w:rsidRPr="00236232">
              <w:t>Справка на фирменном бланке предприятия, содержащая информацию:</w:t>
            </w:r>
          </w:p>
          <w:p w14:paraId="45449A37" w14:textId="77777777" w:rsidR="00065DAD" w:rsidRPr="00236232" w:rsidRDefault="00065DAD" w:rsidP="001011AE">
            <w:pPr>
              <w:tabs>
                <w:tab w:val="left" w:pos="142"/>
                <w:tab w:val="left" w:pos="1134"/>
              </w:tabs>
              <w:ind w:firstLine="284"/>
              <w:jc w:val="both"/>
            </w:pPr>
            <w:r w:rsidRPr="00236232">
              <w:rPr>
                <w:b/>
              </w:rPr>
              <w:t xml:space="preserve">- </w:t>
            </w:r>
            <w:r w:rsidRPr="00236232">
              <w:t>среднемесячный ФОТ, среднесписочная численность сотрудников, наличии /отсутствии задолженности на текущую дату зарплатных проектов, сумма уплаченных налоговых платежей по НДФЛ, ПФР, ФСС, ФФОМС;</w:t>
            </w:r>
          </w:p>
          <w:p w14:paraId="73DCFC2E" w14:textId="77777777" w:rsidR="00065DAD" w:rsidRPr="00236232" w:rsidRDefault="00065DAD" w:rsidP="001011AE">
            <w:pPr>
              <w:tabs>
                <w:tab w:val="left" w:pos="142"/>
                <w:tab w:val="left" w:pos="1134"/>
              </w:tabs>
              <w:ind w:firstLine="284"/>
              <w:jc w:val="both"/>
            </w:pPr>
            <w:r w:rsidRPr="00236232">
              <w:t xml:space="preserve">- </w:t>
            </w:r>
            <w:r w:rsidRPr="00FB33EF">
              <w:rPr>
                <w:rFonts w:eastAsia="Times New Roman"/>
                <w:color w:val="000000" w:themeColor="text1"/>
                <w:kern w:val="0"/>
              </w:rPr>
              <w:t xml:space="preserve">о внебалансовых обязательствах: </w:t>
            </w:r>
            <w:r w:rsidRPr="00236232">
              <w:t>наличие / отсутствие факторинговых и лизинговых обязательств, действующих банковских гарантиях, предоставленных компанией поручительств за третьих лиц (при наличии указанных обязательств, предоставить расшифровки и копии договоров);</w:t>
            </w:r>
          </w:p>
          <w:p w14:paraId="7FC3667F" w14:textId="77777777" w:rsidR="00065DAD" w:rsidRPr="00236232" w:rsidRDefault="00065DAD" w:rsidP="001011AE">
            <w:pPr>
              <w:tabs>
                <w:tab w:val="left" w:pos="142"/>
              </w:tabs>
              <w:ind w:firstLine="284"/>
              <w:jc w:val="both"/>
            </w:pPr>
            <w:r w:rsidRPr="00236232">
              <w:t>- об установленном лимите кассы при наличии расчетов через кассу предприятия;</w:t>
            </w:r>
          </w:p>
          <w:p w14:paraId="064004A9" w14:textId="77777777" w:rsidR="00065DAD" w:rsidRPr="00236232" w:rsidRDefault="00065DAD" w:rsidP="001011AE">
            <w:pPr>
              <w:ind w:firstLine="284"/>
              <w:jc w:val="both"/>
            </w:pPr>
            <w:r w:rsidRPr="00236232">
              <w:t>- о наличии/отсутствии арестов и иных обременений на имущество, принадлежащее клиенту, по состоянию на текущую дату.</w:t>
            </w:r>
          </w:p>
        </w:tc>
      </w:tr>
      <w:tr w:rsidR="00065DAD" w:rsidRPr="00236232" w14:paraId="4595B0FF" w14:textId="77777777" w:rsidTr="001011AE">
        <w:tc>
          <w:tcPr>
            <w:tcW w:w="675" w:type="dxa"/>
            <w:shd w:val="clear" w:color="auto" w:fill="auto"/>
          </w:tcPr>
          <w:p w14:paraId="43A693DB" w14:textId="77777777" w:rsidR="00065DAD" w:rsidRPr="00236232" w:rsidRDefault="00065DAD" w:rsidP="001011AE">
            <w:pPr>
              <w:jc w:val="center"/>
            </w:pPr>
            <w:r w:rsidRPr="00236232">
              <w:t>6</w:t>
            </w:r>
          </w:p>
        </w:tc>
        <w:tc>
          <w:tcPr>
            <w:tcW w:w="8931" w:type="dxa"/>
            <w:shd w:val="clear" w:color="auto" w:fill="auto"/>
          </w:tcPr>
          <w:p w14:paraId="68831D56" w14:textId="77777777" w:rsidR="00065DAD" w:rsidRPr="00236232" w:rsidRDefault="00065DAD" w:rsidP="001011AE">
            <w:pPr>
              <w:tabs>
                <w:tab w:val="left" w:pos="142"/>
              </w:tabs>
              <w:ind w:firstLine="284"/>
              <w:jc w:val="both"/>
            </w:pPr>
            <w:r w:rsidRPr="00236232">
              <w:t xml:space="preserve">На последние </w:t>
            </w:r>
            <w:r w:rsidRPr="00236232">
              <w:rPr>
                <w:b/>
              </w:rPr>
              <w:t>пять отчетных дат</w:t>
            </w:r>
            <w:r w:rsidRPr="00236232">
              <w:t xml:space="preserve"> бухгалтерский баланс, отчет о финансовых результатах, подписанный руководителем/ главным бухгалтером.</w:t>
            </w:r>
          </w:p>
          <w:p w14:paraId="090951D9" w14:textId="77777777" w:rsidR="00065DAD" w:rsidRPr="00236232" w:rsidRDefault="00065DAD" w:rsidP="001011AE">
            <w:pPr>
              <w:widowControl/>
              <w:suppressAutoHyphens w:val="0"/>
              <w:jc w:val="both"/>
            </w:pPr>
            <w:r w:rsidRPr="00236232">
              <w:rPr>
                <w:rFonts w:eastAsiaTheme="minorHAnsi"/>
                <w:kern w:val="0"/>
                <w:lang w:eastAsia="en-US"/>
              </w:rPr>
              <w:t>Годовая бухгалтерская (финансовая) отчетность (б</w:t>
            </w:r>
            <w:r w:rsidRPr="00236232">
              <w:t xml:space="preserve">ухгалтерский баланс, отчет о финансовых результатах) предоставляется </w:t>
            </w:r>
            <w:r w:rsidRPr="00FB33EF">
              <w:rPr>
                <w:rFonts w:eastAsia="Times New Roman"/>
                <w:b/>
                <w:color w:val="000000" w:themeColor="text1"/>
                <w:kern w:val="0"/>
              </w:rPr>
              <w:t>с отметкой ИФНС о получении отчетности либо с предоставлением электронной квитанции/извещения о приеме/получении отчетности ИФНС.</w:t>
            </w:r>
          </w:p>
        </w:tc>
      </w:tr>
      <w:tr w:rsidR="00065DAD" w:rsidRPr="00236232" w14:paraId="11DD0DC7" w14:textId="77777777" w:rsidTr="001011AE">
        <w:tc>
          <w:tcPr>
            <w:tcW w:w="675" w:type="dxa"/>
            <w:shd w:val="clear" w:color="auto" w:fill="auto"/>
          </w:tcPr>
          <w:p w14:paraId="1AB40533" w14:textId="77777777" w:rsidR="00065DAD" w:rsidRPr="00236232" w:rsidRDefault="00065DAD" w:rsidP="001011AE">
            <w:pPr>
              <w:jc w:val="center"/>
            </w:pPr>
            <w:r w:rsidRPr="00236232">
              <w:t>7</w:t>
            </w:r>
          </w:p>
        </w:tc>
        <w:tc>
          <w:tcPr>
            <w:tcW w:w="8931" w:type="dxa"/>
            <w:shd w:val="clear" w:color="auto" w:fill="auto"/>
          </w:tcPr>
          <w:p w14:paraId="073831D9" w14:textId="77777777" w:rsidR="00065DAD" w:rsidRPr="00236232" w:rsidRDefault="00065DAD" w:rsidP="001011AE">
            <w:pPr>
              <w:ind w:firstLine="284"/>
              <w:jc w:val="both"/>
            </w:pPr>
            <w:r w:rsidRPr="00236232">
              <w:t>Справка по форме предприятия о существенных событиях, затрагивающих производственную и финансово-хозяйственную деятельность клиента, произошедших на дату анализа финансового состояния клиента в сравнении с аналогичной датой прошлого года и предыдущей квартальной датой (о фактах, повлекших разовое существенное (более чем на 25%) увеличение или уменьшение стоимости активов; о фактах, повлекших разовое существенное увеличение чистых убытков; о фактах разовых сделок, размер которых либо стоимость имущества по которым составляет более 25%  в активах предприятия);</w:t>
            </w:r>
          </w:p>
        </w:tc>
      </w:tr>
      <w:tr w:rsidR="00065DAD" w:rsidRPr="00236232" w14:paraId="76C8BDF2" w14:textId="77777777" w:rsidTr="001011AE">
        <w:tc>
          <w:tcPr>
            <w:tcW w:w="675" w:type="dxa"/>
            <w:shd w:val="clear" w:color="auto" w:fill="auto"/>
          </w:tcPr>
          <w:p w14:paraId="68664AC1" w14:textId="77777777" w:rsidR="00065DAD" w:rsidRPr="00236232" w:rsidRDefault="00065DAD" w:rsidP="001011AE">
            <w:pPr>
              <w:jc w:val="center"/>
            </w:pPr>
            <w:r w:rsidRPr="00236232">
              <w:t>8</w:t>
            </w:r>
          </w:p>
        </w:tc>
        <w:tc>
          <w:tcPr>
            <w:tcW w:w="8931" w:type="dxa"/>
            <w:shd w:val="clear" w:color="auto" w:fill="auto"/>
          </w:tcPr>
          <w:p w14:paraId="374EC88C" w14:textId="77777777" w:rsidR="00065DAD" w:rsidRPr="00236232" w:rsidRDefault="00065DAD" w:rsidP="001011AE">
            <w:pPr>
              <w:widowControl/>
              <w:tabs>
                <w:tab w:val="left" w:pos="426"/>
                <w:tab w:val="left" w:pos="1134"/>
              </w:tabs>
              <w:suppressAutoHyphens w:val="0"/>
              <w:ind w:firstLine="284"/>
              <w:jc w:val="both"/>
            </w:pPr>
            <w:r w:rsidRPr="00236232">
              <w:t xml:space="preserve">Расшифровки строк предоставленного баланса </w:t>
            </w:r>
            <w:r w:rsidRPr="00236232">
              <w:rPr>
                <w:u w:val="single"/>
              </w:rPr>
              <w:t>на последнюю отчетную дату</w:t>
            </w:r>
            <w:r w:rsidRPr="00236232">
              <w:t>:</w:t>
            </w:r>
          </w:p>
          <w:p w14:paraId="6470750E" w14:textId="77777777" w:rsidR="00065DAD" w:rsidRPr="00236232" w:rsidRDefault="00065DAD" w:rsidP="00065DAD">
            <w:pPr>
              <w:widowControl/>
              <w:numPr>
                <w:ilvl w:val="0"/>
                <w:numId w:val="2"/>
              </w:numPr>
              <w:tabs>
                <w:tab w:val="left" w:pos="426"/>
                <w:tab w:val="left" w:pos="1134"/>
              </w:tabs>
              <w:suppressAutoHyphens w:val="0"/>
              <w:ind w:left="0" w:firstLine="284"/>
              <w:jc w:val="both"/>
            </w:pPr>
            <w:r w:rsidRPr="00236232">
              <w:t>кредиторской и дебиторской задолженности по форме:</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396"/>
              <w:gridCol w:w="1298"/>
              <w:gridCol w:w="1014"/>
              <w:gridCol w:w="1701"/>
              <w:gridCol w:w="1713"/>
            </w:tblGrid>
            <w:tr w:rsidR="00065DAD" w:rsidRPr="003F52A8" w14:paraId="69E6BEEE" w14:textId="77777777" w:rsidTr="001011AE">
              <w:trPr>
                <w:trHeight w:val="812"/>
              </w:trPr>
              <w:tc>
                <w:tcPr>
                  <w:tcW w:w="1588" w:type="dxa"/>
                  <w:shd w:val="clear" w:color="auto" w:fill="DEEAF6"/>
                  <w:tcMar>
                    <w:left w:w="28" w:type="dxa"/>
                    <w:right w:w="28" w:type="dxa"/>
                  </w:tcMar>
                  <w:vAlign w:val="center"/>
                </w:tcPr>
                <w:p w14:paraId="49477DE4" w14:textId="77777777" w:rsidR="00065DAD" w:rsidRPr="00FB33EF" w:rsidRDefault="00065DAD" w:rsidP="001011AE">
                  <w:pPr>
                    <w:jc w:val="center"/>
                    <w:rPr>
                      <w:sz w:val="20"/>
                      <w:szCs w:val="20"/>
                    </w:rPr>
                  </w:pPr>
                  <w:r w:rsidRPr="00FB33EF">
                    <w:rPr>
                      <w:sz w:val="20"/>
                      <w:szCs w:val="20"/>
                    </w:rPr>
                    <w:t>Наименование Дебитора / Кредитора (с указанием  ИНН)</w:t>
                  </w:r>
                </w:p>
              </w:tc>
              <w:tc>
                <w:tcPr>
                  <w:tcW w:w="1396" w:type="dxa"/>
                  <w:shd w:val="clear" w:color="auto" w:fill="DEEAF6"/>
                  <w:tcMar>
                    <w:left w:w="28" w:type="dxa"/>
                    <w:right w:w="28" w:type="dxa"/>
                  </w:tcMar>
                  <w:vAlign w:val="center"/>
                </w:tcPr>
                <w:p w14:paraId="56B56B91" w14:textId="77777777" w:rsidR="00065DAD" w:rsidRPr="00FB33EF" w:rsidRDefault="00065DAD" w:rsidP="001011AE">
                  <w:pPr>
                    <w:jc w:val="center"/>
                    <w:rPr>
                      <w:sz w:val="20"/>
                      <w:szCs w:val="20"/>
                    </w:rPr>
                  </w:pPr>
                  <w:r w:rsidRPr="00FB33EF">
                    <w:rPr>
                      <w:sz w:val="20"/>
                      <w:szCs w:val="20"/>
                    </w:rPr>
                    <w:t>Сумма задолженности, тыс. руб.</w:t>
                  </w:r>
                </w:p>
              </w:tc>
              <w:tc>
                <w:tcPr>
                  <w:tcW w:w="1298" w:type="dxa"/>
                  <w:shd w:val="clear" w:color="auto" w:fill="DEEAF6"/>
                  <w:tcMar>
                    <w:left w:w="28" w:type="dxa"/>
                    <w:right w:w="28" w:type="dxa"/>
                  </w:tcMar>
                  <w:vAlign w:val="center"/>
                </w:tcPr>
                <w:p w14:paraId="08EC8E6B" w14:textId="77777777" w:rsidR="00065DAD" w:rsidRPr="00FB33EF" w:rsidRDefault="00065DAD" w:rsidP="001011AE">
                  <w:pPr>
                    <w:jc w:val="center"/>
                    <w:rPr>
                      <w:sz w:val="20"/>
                      <w:szCs w:val="20"/>
                    </w:rPr>
                  </w:pPr>
                  <w:r w:rsidRPr="00FB33EF">
                    <w:rPr>
                      <w:sz w:val="20"/>
                      <w:szCs w:val="20"/>
                    </w:rPr>
                    <w:t>Дата возникновения*</w:t>
                  </w:r>
                </w:p>
              </w:tc>
              <w:tc>
                <w:tcPr>
                  <w:tcW w:w="1014" w:type="dxa"/>
                  <w:shd w:val="clear" w:color="auto" w:fill="DEEAF6"/>
                  <w:tcMar>
                    <w:left w:w="28" w:type="dxa"/>
                    <w:right w:w="28" w:type="dxa"/>
                  </w:tcMar>
                  <w:vAlign w:val="center"/>
                </w:tcPr>
                <w:p w14:paraId="76205232" w14:textId="77777777" w:rsidR="00065DAD" w:rsidRPr="00FB33EF" w:rsidRDefault="00065DAD" w:rsidP="001011AE">
                  <w:pPr>
                    <w:jc w:val="center"/>
                    <w:rPr>
                      <w:sz w:val="20"/>
                      <w:szCs w:val="20"/>
                    </w:rPr>
                  </w:pPr>
                  <w:r w:rsidRPr="00FB33EF">
                    <w:rPr>
                      <w:sz w:val="20"/>
                      <w:szCs w:val="20"/>
                    </w:rPr>
                    <w:t>Дата погашения*</w:t>
                  </w:r>
                </w:p>
              </w:tc>
              <w:tc>
                <w:tcPr>
                  <w:tcW w:w="1701" w:type="dxa"/>
                  <w:shd w:val="clear" w:color="auto" w:fill="DEEAF6"/>
                  <w:tcMar>
                    <w:left w:w="28" w:type="dxa"/>
                    <w:right w:w="28" w:type="dxa"/>
                  </w:tcMar>
                  <w:vAlign w:val="center"/>
                </w:tcPr>
                <w:p w14:paraId="50FE3243" w14:textId="77777777" w:rsidR="00065DAD" w:rsidRPr="00FB33EF" w:rsidRDefault="00065DAD" w:rsidP="001011AE">
                  <w:pPr>
                    <w:jc w:val="center"/>
                    <w:rPr>
                      <w:sz w:val="20"/>
                      <w:szCs w:val="20"/>
                    </w:rPr>
                  </w:pPr>
                  <w:r w:rsidRPr="00FB33EF">
                    <w:rPr>
                      <w:sz w:val="20"/>
                      <w:szCs w:val="20"/>
                    </w:rPr>
                    <w:t>За что образовалась задолженность</w:t>
                  </w:r>
                </w:p>
              </w:tc>
              <w:tc>
                <w:tcPr>
                  <w:tcW w:w="1713" w:type="dxa"/>
                  <w:shd w:val="clear" w:color="auto" w:fill="DEEAF6"/>
                  <w:tcMar>
                    <w:left w:w="28" w:type="dxa"/>
                    <w:right w:w="28" w:type="dxa"/>
                  </w:tcMar>
                  <w:vAlign w:val="center"/>
                </w:tcPr>
                <w:p w14:paraId="42DB15F9" w14:textId="77777777" w:rsidR="00065DAD" w:rsidRPr="00FB33EF" w:rsidRDefault="00065DAD" w:rsidP="001011AE">
                  <w:pPr>
                    <w:jc w:val="center"/>
                    <w:rPr>
                      <w:sz w:val="20"/>
                      <w:szCs w:val="20"/>
                    </w:rPr>
                  </w:pPr>
                  <w:r w:rsidRPr="00FB33EF">
                    <w:rPr>
                      <w:sz w:val="20"/>
                      <w:szCs w:val="20"/>
                    </w:rPr>
                    <w:t>Просроченная / безнадежная к взысканию</w:t>
                  </w:r>
                </w:p>
              </w:tc>
            </w:tr>
            <w:tr w:rsidR="00065DAD" w:rsidRPr="003F52A8" w14:paraId="36CD2A88" w14:textId="77777777" w:rsidTr="001011AE">
              <w:tc>
                <w:tcPr>
                  <w:tcW w:w="1588" w:type="dxa"/>
                  <w:shd w:val="clear" w:color="auto" w:fill="auto"/>
                  <w:tcMar>
                    <w:left w:w="28" w:type="dxa"/>
                    <w:right w:w="28" w:type="dxa"/>
                  </w:tcMar>
                </w:tcPr>
                <w:p w14:paraId="5437A99E" w14:textId="77777777" w:rsidR="00065DAD" w:rsidRPr="00FB33EF" w:rsidRDefault="00065DAD" w:rsidP="001011AE">
                  <w:pPr>
                    <w:jc w:val="both"/>
                    <w:rPr>
                      <w:b/>
                      <w:sz w:val="20"/>
                      <w:szCs w:val="20"/>
                    </w:rPr>
                  </w:pPr>
                </w:p>
              </w:tc>
              <w:tc>
                <w:tcPr>
                  <w:tcW w:w="1396" w:type="dxa"/>
                  <w:shd w:val="clear" w:color="auto" w:fill="auto"/>
                  <w:tcMar>
                    <w:left w:w="28" w:type="dxa"/>
                    <w:right w:w="28" w:type="dxa"/>
                  </w:tcMar>
                </w:tcPr>
                <w:p w14:paraId="76730795" w14:textId="77777777" w:rsidR="00065DAD" w:rsidRPr="00FB33EF" w:rsidRDefault="00065DAD" w:rsidP="001011AE">
                  <w:pPr>
                    <w:jc w:val="both"/>
                    <w:rPr>
                      <w:b/>
                      <w:sz w:val="20"/>
                      <w:szCs w:val="20"/>
                    </w:rPr>
                  </w:pPr>
                </w:p>
              </w:tc>
              <w:tc>
                <w:tcPr>
                  <w:tcW w:w="1298" w:type="dxa"/>
                  <w:shd w:val="clear" w:color="auto" w:fill="auto"/>
                  <w:tcMar>
                    <w:left w:w="28" w:type="dxa"/>
                    <w:right w:w="28" w:type="dxa"/>
                  </w:tcMar>
                </w:tcPr>
                <w:p w14:paraId="35F6E2A1" w14:textId="77777777" w:rsidR="00065DAD" w:rsidRPr="00FB33EF" w:rsidRDefault="00065DAD" w:rsidP="001011AE">
                  <w:pPr>
                    <w:jc w:val="both"/>
                    <w:rPr>
                      <w:b/>
                      <w:sz w:val="20"/>
                      <w:szCs w:val="20"/>
                    </w:rPr>
                  </w:pPr>
                </w:p>
              </w:tc>
              <w:tc>
                <w:tcPr>
                  <w:tcW w:w="1014" w:type="dxa"/>
                  <w:shd w:val="clear" w:color="auto" w:fill="auto"/>
                  <w:tcMar>
                    <w:left w:w="28" w:type="dxa"/>
                    <w:right w:w="28" w:type="dxa"/>
                  </w:tcMar>
                </w:tcPr>
                <w:p w14:paraId="5B610BEF" w14:textId="77777777" w:rsidR="00065DAD" w:rsidRPr="00FB33EF" w:rsidRDefault="00065DAD" w:rsidP="001011AE">
                  <w:pPr>
                    <w:jc w:val="both"/>
                    <w:rPr>
                      <w:b/>
                      <w:sz w:val="20"/>
                      <w:szCs w:val="20"/>
                    </w:rPr>
                  </w:pPr>
                </w:p>
              </w:tc>
              <w:tc>
                <w:tcPr>
                  <w:tcW w:w="1701" w:type="dxa"/>
                  <w:shd w:val="clear" w:color="auto" w:fill="auto"/>
                  <w:tcMar>
                    <w:left w:w="28" w:type="dxa"/>
                    <w:right w:w="28" w:type="dxa"/>
                  </w:tcMar>
                </w:tcPr>
                <w:p w14:paraId="3513BAAC" w14:textId="77777777" w:rsidR="00065DAD" w:rsidRPr="00FB33EF" w:rsidRDefault="00065DAD" w:rsidP="001011AE">
                  <w:pPr>
                    <w:jc w:val="both"/>
                    <w:rPr>
                      <w:b/>
                      <w:sz w:val="20"/>
                      <w:szCs w:val="20"/>
                    </w:rPr>
                  </w:pPr>
                </w:p>
              </w:tc>
              <w:tc>
                <w:tcPr>
                  <w:tcW w:w="1713" w:type="dxa"/>
                  <w:tcMar>
                    <w:left w:w="28" w:type="dxa"/>
                    <w:right w:w="28" w:type="dxa"/>
                  </w:tcMar>
                </w:tcPr>
                <w:p w14:paraId="50ED3312" w14:textId="77777777" w:rsidR="00065DAD" w:rsidRPr="00FB33EF" w:rsidRDefault="00065DAD" w:rsidP="001011AE">
                  <w:pPr>
                    <w:jc w:val="both"/>
                    <w:rPr>
                      <w:b/>
                      <w:sz w:val="20"/>
                      <w:szCs w:val="20"/>
                    </w:rPr>
                  </w:pPr>
                </w:p>
              </w:tc>
            </w:tr>
            <w:tr w:rsidR="00065DAD" w:rsidRPr="003F52A8" w14:paraId="026B1B58" w14:textId="77777777" w:rsidTr="001011AE">
              <w:tc>
                <w:tcPr>
                  <w:tcW w:w="1588" w:type="dxa"/>
                  <w:shd w:val="clear" w:color="auto" w:fill="auto"/>
                  <w:tcMar>
                    <w:left w:w="28" w:type="dxa"/>
                    <w:right w:w="28" w:type="dxa"/>
                  </w:tcMar>
                </w:tcPr>
                <w:p w14:paraId="77E579F2" w14:textId="77777777" w:rsidR="00065DAD" w:rsidRPr="00FB33EF" w:rsidRDefault="00065DAD" w:rsidP="001011AE">
                  <w:pPr>
                    <w:jc w:val="both"/>
                    <w:rPr>
                      <w:b/>
                      <w:sz w:val="20"/>
                      <w:szCs w:val="20"/>
                    </w:rPr>
                  </w:pPr>
                </w:p>
              </w:tc>
              <w:tc>
                <w:tcPr>
                  <w:tcW w:w="1396" w:type="dxa"/>
                  <w:shd w:val="clear" w:color="auto" w:fill="auto"/>
                  <w:tcMar>
                    <w:left w:w="28" w:type="dxa"/>
                    <w:right w:w="28" w:type="dxa"/>
                  </w:tcMar>
                </w:tcPr>
                <w:p w14:paraId="39843140" w14:textId="77777777" w:rsidR="00065DAD" w:rsidRPr="00FB33EF" w:rsidRDefault="00065DAD" w:rsidP="001011AE">
                  <w:pPr>
                    <w:jc w:val="both"/>
                    <w:rPr>
                      <w:b/>
                      <w:sz w:val="20"/>
                      <w:szCs w:val="20"/>
                    </w:rPr>
                  </w:pPr>
                </w:p>
              </w:tc>
              <w:tc>
                <w:tcPr>
                  <w:tcW w:w="1298" w:type="dxa"/>
                  <w:shd w:val="clear" w:color="auto" w:fill="auto"/>
                  <w:tcMar>
                    <w:left w:w="28" w:type="dxa"/>
                    <w:right w:w="28" w:type="dxa"/>
                  </w:tcMar>
                </w:tcPr>
                <w:p w14:paraId="1F62334D" w14:textId="77777777" w:rsidR="00065DAD" w:rsidRPr="00FB33EF" w:rsidRDefault="00065DAD" w:rsidP="001011AE">
                  <w:pPr>
                    <w:jc w:val="both"/>
                    <w:rPr>
                      <w:b/>
                      <w:sz w:val="20"/>
                      <w:szCs w:val="20"/>
                    </w:rPr>
                  </w:pPr>
                </w:p>
              </w:tc>
              <w:tc>
                <w:tcPr>
                  <w:tcW w:w="1014" w:type="dxa"/>
                  <w:shd w:val="clear" w:color="auto" w:fill="auto"/>
                  <w:tcMar>
                    <w:left w:w="28" w:type="dxa"/>
                    <w:right w:w="28" w:type="dxa"/>
                  </w:tcMar>
                </w:tcPr>
                <w:p w14:paraId="1556DCA7" w14:textId="77777777" w:rsidR="00065DAD" w:rsidRPr="00FB33EF" w:rsidRDefault="00065DAD" w:rsidP="001011AE">
                  <w:pPr>
                    <w:jc w:val="both"/>
                    <w:rPr>
                      <w:b/>
                      <w:sz w:val="20"/>
                      <w:szCs w:val="20"/>
                    </w:rPr>
                  </w:pPr>
                </w:p>
              </w:tc>
              <w:tc>
                <w:tcPr>
                  <w:tcW w:w="1701" w:type="dxa"/>
                  <w:shd w:val="clear" w:color="auto" w:fill="auto"/>
                  <w:tcMar>
                    <w:left w:w="28" w:type="dxa"/>
                    <w:right w:w="28" w:type="dxa"/>
                  </w:tcMar>
                </w:tcPr>
                <w:p w14:paraId="405BB7AD" w14:textId="77777777" w:rsidR="00065DAD" w:rsidRPr="00FB33EF" w:rsidRDefault="00065DAD" w:rsidP="001011AE">
                  <w:pPr>
                    <w:jc w:val="both"/>
                    <w:rPr>
                      <w:b/>
                      <w:sz w:val="20"/>
                      <w:szCs w:val="20"/>
                    </w:rPr>
                  </w:pPr>
                </w:p>
              </w:tc>
              <w:tc>
                <w:tcPr>
                  <w:tcW w:w="1713" w:type="dxa"/>
                  <w:tcMar>
                    <w:left w:w="28" w:type="dxa"/>
                    <w:right w:w="28" w:type="dxa"/>
                  </w:tcMar>
                </w:tcPr>
                <w:p w14:paraId="19A24CDB" w14:textId="77777777" w:rsidR="00065DAD" w:rsidRPr="00FB33EF" w:rsidRDefault="00065DAD" w:rsidP="001011AE">
                  <w:pPr>
                    <w:jc w:val="both"/>
                    <w:rPr>
                      <w:b/>
                      <w:sz w:val="20"/>
                      <w:szCs w:val="20"/>
                    </w:rPr>
                  </w:pPr>
                </w:p>
              </w:tc>
            </w:tr>
          </w:tbl>
          <w:p w14:paraId="6204B1C5" w14:textId="77777777" w:rsidR="00065DAD" w:rsidRPr="00FB33EF" w:rsidRDefault="00065DAD" w:rsidP="001011AE">
            <w:pPr>
              <w:jc w:val="both"/>
            </w:pPr>
            <w:r w:rsidRPr="00FB33EF">
              <w:t>*дату возникновения необходимо указывать по факту отгрузки либо по факту выполнения работ/услуг (а не дату договора);</w:t>
            </w:r>
          </w:p>
          <w:p w14:paraId="6924B240" w14:textId="77777777" w:rsidR="00065DAD" w:rsidRPr="00FB33EF" w:rsidRDefault="00065DAD" w:rsidP="001011AE">
            <w:pPr>
              <w:widowControl/>
              <w:tabs>
                <w:tab w:val="left" w:pos="426"/>
                <w:tab w:val="left" w:pos="1134"/>
              </w:tabs>
              <w:suppressAutoHyphens w:val="0"/>
              <w:jc w:val="both"/>
            </w:pPr>
            <w:r w:rsidRPr="00FB33EF">
              <w:lastRenderedPageBreak/>
              <w:t>*дату погашения необходимо указывать в соответствии с условиями договоров</w:t>
            </w:r>
          </w:p>
          <w:p w14:paraId="3FD7305E" w14:textId="77777777" w:rsidR="00065DAD" w:rsidRPr="00236232" w:rsidRDefault="00065DAD" w:rsidP="001011AE">
            <w:pPr>
              <w:ind w:firstLine="284"/>
              <w:jc w:val="both"/>
            </w:pPr>
            <w:r w:rsidRPr="00236232">
              <w:t>Дополнительно, расшифровку Кредиторской задолженности необходимо предоставлять   в развернутом виде:</w:t>
            </w:r>
          </w:p>
          <w:tbl>
            <w:tblPr>
              <w:tblpPr w:leftFromText="180" w:rightFromText="180" w:vertAnchor="text" w:horzAnchor="margin" w:tblpX="-39" w:tblpY="12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065DAD" w:rsidRPr="003F52A8" w14:paraId="43FF45E1" w14:textId="77777777" w:rsidTr="001011AE">
              <w:tc>
                <w:tcPr>
                  <w:tcW w:w="8789" w:type="dxa"/>
                  <w:tcBorders>
                    <w:top w:val="single" w:sz="4" w:space="0" w:color="auto"/>
                    <w:left w:val="single" w:sz="4" w:space="0" w:color="auto"/>
                    <w:bottom w:val="single" w:sz="4" w:space="0" w:color="auto"/>
                    <w:right w:val="single" w:sz="4" w:space="0" w:color="auto"/>
                  </w:tcBorders>
                  <w:shd w:val="clear" w:color="auto" w:fill="DEEAF6"/>
                  <w:hideMark/>
                </w:tcPr>
                <w:p w14:paraId="3D676E4D" w14:textId="77777777" w:rsidR="00065DAD" w:rsidRPr="00FB33EF" w:rsidRDefault="00065DAD" w:rsidP="001011AE">
                  <w:pPr>
                    <w:tabs>
                      <w:tab w:val="center" w:pos="4153"/>
                      <w:tab w:val="right" w:pos="8306"/>
                    </w:tabs>
                    <w:ind w:firstLine="284"/>
                    <w:jc w:val="both"/>
                    <w:rPr>
                      <w:b/>
                      <w:i/>
                      <w:sz w:val="20"/>
                      <w:szCs w:val="20"/>
                    </w:rPr>
                  </w:pPr>
                  <w:r w:rsidRPr="00FB33EF">
                    <w:rPr>
                      <w:b/>
                      <w:sz w:val="20"/>
                      <w:szCs w:val="20"/>
                    </w:rPr>
                    <w:t>Кредиторская задолженность, в том числе:</w:t>
                  </w:r>
                </w:p>
              </w:tc>
            </w:tr>
            <w:tr w:rsidR="00065DAD" w:rsidRPr="003F52A8" w14:paraId="3BA69A45" w14:textId="77777777" w:rsidTr="001011AE">
              <w:tc>
                <w:tcPr>
                  <w:tcW w:w="8789" w:type="dxa"/>
                  <w:tcBorders>
                    <w:top w:val="single" w:sz="4" w:space="0" w:color="auto"/>
                    <w:left w:val="single" w:sz="4" w:space="0" w:color="auto"/>
                    <w:bottom w:val="single" w:sz="4" w:space="0" w:color="auto"/>
                    <w:right w:val="single" w:sz="4" w:space="0" w:color="auto"/>
                  </w:tcBorders>
                  <w:hideMark/>
                </w:tcPr>
                <w:p w14:paraId="3328B4A3"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поставщики и подрядчики</w:t>
                  </w:r>
                </w:p>
              </w:tc>
            </w:tr>
            <w:tr w:rsidR="00065DAD" w:rsidRPr="003F52A8" w14:paraId="1FCF895C" w14:textId="77777777" w:rsidTr="001011AE">
              <w:tc>
                <w:tcPr>
                  <w:tcW w:w="8789" w:type="dxa"/>
                  <w:tcBorders>
                    <w:top w:val="single" w:sz="4" w:space="0" w:color="auto"/>
                    <w:left w:val="single" w:sz="4" w:space="0" w:color="auto"/>
                    <w:bottom w:val="single" w:sz="4" w:space="0" w:color="auto"/>
                    <w:right w:val="single" w:sz="4" w:space="0" w:color="auto"/>
                  </w:tcBorders>
                </w:tcPr>
                <w:p w14:paraId="017926BB"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покупатели и заказчики</w:t>
                  </w:r>
                </w:p>
              </w:tc>
            </w:tr>
            <w:tr w:rsidR="00065DAD" w:rsidRPr="003F52A8" w14:paraId="4E3C2FF9" w14:textId="77777777" w:rsidTr="001011AE">
              <w:tc>
                <w:tcPr>
                  <w:tcW w:w="8789" w:type="dxa"/>
                  <w:tcBorders>
                    <w:top w:val="single" w:sz="4" w:space="0" w:color="auto"/>
                    <w:left w:val="single" w:sz="4" w:space="0" w:color="auto"/>
                    <w:bottom w:val="single" w:sz="4" w:space="0" w:color="auto"/>
                    <w:right w:val="single" w:sz="4" w:space="0" w:color="auto"/>
                  </w:tcBorders>
                  <w:hideMark/>
                </w:tcPr>
                <w:p w14:paraId="77D55574"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задолженность перед персоналом организации</w:t>
                  </w:r>
                </w:p>
              </w:tc>
            </w:tr>
            <w:tr w:rsidR="00065DAD" w:rsidRPr="003F52A8" w14:paraId="5D6FC809" w14:textId="77777777" w:rsidTr="001011AE">
              <w:tc>
                <w:tcPr>
                  <w:tcW w:w="8789" w:type="dxa"/>
                  <w:tcBorders>
                    <w:top w:val="single" w:sz="4" w:space="0" w:color="auto"/>
                    <w:left w:val="single" w:sz="4" w:space="0" w:color="auto"/>
                    <w:bottom w:val="single" w:sz="4" w:space="0" w:color="auto"/>
                    <w:right w:val="single" w:sz="4" w:space="0" w:color="auto"/>
                  </w:tcBorders>
                  <w:hideMark/>
                </w:tcPr>
                <w:p w14:paraId="76094A2E"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задолженность перед государственными внебюджетными фондами</w:t>
                  </w:r>
                </w:p>
              </w:tc>
            </w:tr>
            <w:tr w:rsidR="00065DAD" w:rsidRPr="003F52A8" w14:paraId="292E70B4" w14:textId="77777777" w:rsidTr="001011AE">
              <w:tc>
                <w:tcPr>
                  <w:tcW w:w="8789" w:type="dxa"/>
                  <w:tcBorders>
                    <w:top w:val="single" w:sz="4" w:space="0" w:color="auto"/>
                    <w:left w:val="single" w:sz="4" w:space="0" w:color="auto"/>
                    <w:bottom w:val="single" w:sz="4" w:space="0" w:color="auto"/>
                    <w:right w:val="single" w:sz="4" w:space="0" w:color="auto"/>
                  </w:tcBorders>
                  <w:hideMark/>
                </w:tcPr>
                <w:p w14:paraId="2459EEE4"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задолженность по налогам и сборам</w:t>
                  </w:r>
                </w:p>
              </w:tc>
            </w:tr>
            <w:tr w:rsidR="00065DAD" w:rsidRPr="003F52A8" w14:paraId="0DE318AE" w14:textId="77777777" w:rsidTr="001011AE">
              <w:tc>
                <w:tcPr>
                  <w:tcW w:w="8789" w:type="dxa"/>
                  <w:tcBorders>
                    <w:top w:val="single" w:sz="4" w:space="0" w:color="auto"/>
                    <w:left w:val="single" w:sz="4" w:space="0" w:color="auto"/>
                    <w:bottom w:val="single" w:sz="4" w:space="0" w:color="auto"/>
                    <w:right w:val="single" w:sz="4" w:space="0" w:color="auto"/>
                  </w:tcBorders>
                  <w:hideMark/>
                </w:tcPr>
                <w:p w14:paraId="75A674FE" w14:textId="77777777" w:rsidR="00065DAD" w:rsidRPr="00FB33EF" w:rsidRDefault="00065DAD" w:rsidP="001011AE">
                  <w:pPr>
                    <w:tabs>
                      <w:tab w:val="center" w:pos="4153"/>
                      <w:tab w:val="right" w:pos="8306"/>
                    </w:tabs>
                    <w:ind w:firstLine="284"/>
                    <w:jc w:val="both"/>
                    <w:rPr>
                      <w:sz w:val="20"/>
                      <w:szCs w:val="20"/>
                    </w:rPr>
                  </w:pPr>
                  <w:r w:rsidRPr="00FB33EF">
                    <w:rPr>
                      <w:sz w:val="20"/>
                      <w:szCs w:val="20"/>
                    </w:rPr>
                    <w:t>прочие кредиторы</w:t>
                  </w:r>
                </w:p>
              </w:tc>
            </w:tr>
          </w:tbl>
          <w:p w14:paraId="5C368DF8" w14:textId="77777777" w:rsidR="00065DAD" w:rsidRPr="00236232" w:rsidRDefault="00065DAD" w:rsidP="00065DAD">
            <w:pPr>
              <w:widowControl/>
              <w:numPr>
                <w:ilvl w:val="0"/>
                <w:numId w:val="2"/>
              </w:numPr>
              <w:tabs>
                <w:tab w:val="left" w:pos="426"/>
              </w:tabs>
              <w:suppressAutoHyphens w:val="0"/>
              <w:ind w:left="0" w:firstLine="284"/>
              <w:jc w:val="both"/>
            </w:pPr>
            <w:r w:rsidRPr="00236232">
              <w:t>основных средств, с указанием его балансовой и остаточной стоимости;</w:t>
            </w:r>
          </w:p>
          <w:p w14:paraId="33F15D3A" w14:textId="77777777" w:rsidR="00065DAD" w:rsidRPr="00236232" w:rsidRDefault="00065DAD" w:rsidP="00065DAD">
            <w:pPr>
              <w:widowControl/>
              <w:numPr>
                <w:ilvl w:val="0"/>
                <w:numId w:val="2"/>
              </w:numPr>
              <w:tabs>
                <w:tab w:val="left" w:pos="426"/>
              </w:tabs>
              <w:suppressAutoHyphens w:val="0"/>
              <w:ind w:left="0" w:firstLine="284"/>
              <w:jc w:val="both"/>
            </w:pPr>
            <w:r w:rsidRPr="00236232">
              <w:t>запасов;</w:t>
            </w:r>
          </w:p>
          <w:p w14:paraId="4D9256C2" w14:textId="77777777" w:rsidR="00065DAD" w:rsidRPr="00236232" w:rsidRDefault="00065DAD" w:rsidP="00065DAD">
            <w:pPr>
              <w:pStyle w:val="a6"/>
              <w:numPr>
                <w:ilvl w:val="0"/>
                <w:numId w:val="3"/>
              </w:numPr>
              <w:tabs>
                <w:tab w:val="left" w:pos="459"/>
              </w:tabs>
              <w:ind w:left="0" w:firstLine="284"/>
              <w:contextualSpacing w:val="0"/>
            </w:pPr>
            <w:r w:rsidRPr="00236232">
              <w:t xml:space="preserve">краткосрочных и долгосрочных финансовых вложений, заемных средств с указанием кредитора, срока погашения, суммы по договору, процентной ставки и суммы долга по ссудам, процентам и штрафам  с приложением копий кредитных договоров и договоров обеспечения (с приложениями):      </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99"/>
              <w:gridCol w:w="413"/>
              <w:gridCol w:w="1898"/>
              <w:gridCol w:w="1417"/>
              <w:gridCol w:w="1052"/>
              <w:gridCol w:w="1358"/>
            </w:tblGrid>
            <w:tr w:rsidR="00065DAD" w:rsidRPr="003F52A8" w14:paraId="218B84A3" w14:textId="77777777" w:rsidTr="001011AE">
              <w:tc>
                <w:tcPr>
                  <w:tcW w:w="1417" w:type="dxa"/>
                  <w:shd w:val="clear" w:color="auto" w:fill="DEEAF6"/>
                </w:tcPr>
                <w:p w14:paraId="02171E68" w14:textId="77777777" w:rsidR="00065DAD" w:rsidRPr="00FB33EF" w:rsidRDefault="00065DAD" w:rsidP="001011AE">
                  <w:pPr>
                    <w:jc w:val="center"/>
                    <w:rPr>
                      <w:sz w:val="20"/>
                      <w:szCs w:val="20"/>
                    </w:rPr>
                  </w:pPr>
                  <w:r w:rsidRPr="00FB33EF">
                    <w:rPr>
                      <w:sz w:val="20"/>
                      <w:szCs w:val="20"/>
                    </w:rPr>
                    <w:t>Наименование ИНН</w:t>
                  </w:r>
                </w:p>
              </w:tc>
              <w:tc>
                <w:tcPr>
                  <w:tcW w:w="1199" w:type="dxa"/>
                  <w:shd w:val="clear" w:color="auto" w:fill="DEEAF6"/>
                </w:tcPr>
                <w:p w14:paraId="4BF62BA9" w14:textId="77777777" w:rsidR="00065DAD" w:rsidRPr="00FB33EF" w:rsidRDefault="00065DAD" w:rsidP="001011AE">
                  <w:pPr>
                    <w:jc w:val="center"/>
                    <w:rPr>
                      <w:sz w:val="20"/>
                      <w:szCs w:val="20"/>
                    </w:rPr>
                  </w:pPr>
                  <w:r w:rsidRPr="00FB33EF">
                    <w:rPr>
                      <w:sz w:val="20"/>
                      <w:szCs w:val="20"/>
                    </w:rPr>
                    <w:t>Сумма по договору, тыс. руб.</w:t>
                  </w:r>
                </w:p>
              </w:tc>
              <w:tc>
                <w:tcPr>
                  <w:tcW w:w="413" w:type="dxa"/>
                  <w:shd w:val="clear" w:color="auto" w:fill="DEEAF6"/>
                </w:tcPr>
                <w:p w14:paraId="3DF5CEDC" w14:textId="77777777" w:rsidR="00065DAD" w:rsidRPr="00FB33EF" w:rsidRDefault="00065DAD" w:rsidP="001011AE">
                  <w:pPr>
                    <w:jc w:val="center"/>
                    <w:rPr>
                      <w:sz w:val="20"/>
                      <w:szCs w:val="20"/>
                    </w:rPr>
                  </w:pPr>
                  <w:r w:rsidRPr="00FB33EF">
                    <w:rPr>
                      <w:sz w:val="20"/>
                      <w:szCs w:val="20"/>
                    </w:rPr>
                    <w:t>%</w:t>
                  </w:r>
                </w:p>
              </w:tc>
              <w:tc>
                <w:tcPr>
                  <w:tcW w:w="1898" w:type="dxa"/>
                  <w:shd w:val="clear" w:color="auto" w:fill="DEEAF6"/>
                </w:tcPr>
                <w:p w14:paraId="1A0D9DF3" w14:textId="77777777" w:rsidR="00065DAD" w:rsidRPr="00FB33EF" w:rsidRDefault="00065DAD" w:rsidP="001011AE">
                  <w:pPr>
                    <w:jc w:val="center"/>
                    <w:rPr>
                      <w:sz w:val="20"/>
                      <w:szCs w:val="20"/>
                    </w:rPr>
                  </w:pPr>
                  <w:r w:rsidRPr="00FB33EF">
                    <w:rPr>
                      <w:sz w:val="20"/>
                      <w:szCs w:val="20"/>
                    </w:rPr>
                    <w:t>Остаток задолженности на текущую дату, в т.ч. основной долг, %, штрафы</w:t>
                  </w:r>
                </w:p>
              </w:tc>
              <w:tc>
                <w:tcPr>
                  <w:tcW w:w="1417" w:type="dxa"/>
                  <w:shd w:val="clear" w:color="auto" w:fill="DEEAF6"/>
                  <w:tcMar>
                    <w:left w:w="0" w:type="dxa"/>
                    <w:right w:w="0" w:type="dxa"/>
                  </w:tcMar>
                </w:tcPr>
                <w:p w14:paraId="17712675" w14:textId="77777777" w:rsidR="00065DAD" w:rsidRPr="00FB33EF" w:rsidRDefault="00065DAD" w:rsidP="001011AE">
                  <w:pPr>
                    <w:jc w:val="center"/>
                    <w:rPr>
                      <w:sz w:val="20"/>
                      <w:szCs w:val="20"/>
                    </w:rPr>
                  </w:pPr>
                  <w:r w:rsidRPr="00FB33EF">
                    <w:rPr>
                      <w:sz w:val="20"/>
                      <w:szCs w:val="20"/>
                    </w:rPr>
                    <w:t>Дата возникновения</w:t>
                  </w:r>
                </w:p>
              </w:tc>
              <w:tc>
                <w:tcPr>
                  <w:tcW w:w="1052" w:type="dxa"/>
                  <w:shd w:val="clear" w:color="auto" w:fill="DEEAF6"/>
                  <w:tcMar>
                    <w:left w:w="0" w:type="dxa"/>
                    <w:right w:w="0" w:type="dxa"/>
                  </w:tcMar>
                </w:tcPr>
                <w:p w14:paraId="6ADD0C4D" w14:textId="77777777" w:rsidR="00065DAD" w:rsidRPr="00FB33EF" w:rsidRDefault="00065DAD" w:rsidP="001011AE">
                  <w:pPr>
                    <w:jc w:val="center"/>
                    <w:rPr>
                      <w:sz w:val="20"/>
                      <w:szCs w:val="20"/>
                    </w:rPr>
                  </w:pPr>
                  <w:r w:rsidRPr="00FB33EF">
                    <w:rPr>
                      <w:sz w:val="20"/>
                      <w:szCs w:val="20"/>
                    </w:rPr>
                    <w:t>Дата погашения</w:t>
                  </w:r>
                </w:p>
              </w:tc>
              <w:tc>
                <w:tcPr>
                  <w:tcW w:w="1358" w:type="dxa"/>
                  <w:shd w:val="clear" w:color="auto" w:fill="DEEAF6"/>
                </w:tcPr>
                <w:p w14:paraId="3D2DCFD9" w14:textId="77777777" w:rsidR="00065DAD" w:rsidRPr="00FB33EF" w:rsidRDefault="00065DAD" w:rsidP="001011AE">
                  <w:pPr>
                    <w:jc w:val="center"/>
                    <w:rPr>
                      <w:sz w:val="20"/>
                      <w:szCs w:val="20"/>
                    </w:rPr>
                  </w:pPr>
                  <w:r w:rsidRPr="00FB33EF">
                    <w:rPr>
                      <w:sz w:val="20"/>
                      <w:szCs w:val="20"/>
                    </w:rPr>
                    <w:t>Просроченная безнадежная к взысканию</w:t>
                  </w:r>
                </w:p>
              </w:tc>
            </w:tr>
            <w:tr w:rsidR="00065DAD" w:rsidRPr="003F52A8" w14:paraId="2983083B" w14:textId="77777777" w:rsidTr="001011AE">
              <w:tc>
                <w:tcPr>
                  <w:tcW w:w="1417" w:type="dxa"/>
                  <w:shd w:val="clear" w:color="auto" w:fill="auto"/>
                </w:tcPr>
                <w:p w14:paraId="006C1BAA" w14:textId="77777777" w:rsidR="00065DAD" w:rsidRPr="00FB33EF" w:rsidRDefault="00065DAD" w:rsidP="001011AE">
                  <w:pPr>
                    <w:jc w:val="both"/>
                    <w:rPr>
                      <w:sz w:val="20"/>
                      <w:szCs w:val="20"/>
                    </w:rPr>
                  </w:pPr>
                </w:p>
              </w:tc>
              <w:tc>
                <w:tcPr>
                  <w:tcW w:w="1199" w:type="dxa"/>
                  <w:shd w:val="clear" w:color="auto" w:fill="auto"/>
                </w:tcPr>
                <w:p w14:paraId="4E6DEFF2" w14:textId="77777777" w:rsidR="00065DAD" w:rsidRPr="00FB33EF" w:rsidRDefault="00065DAD" w:rsidP="001011AE">
                  <w:pPr>
                    <w:jc w:val="both"/>
                    <w:rPr>
                      <w:sz w:val="20"/>
                      <w:szCs w:val="20"/>
                    </w:rPr>
                  </w:pPr>
                </w:p>
              </w:tc>
              <w:tc>
                <w:tcPr>
                  <w:tcW w:w="413" w:type="dxa"/>
                  <w:shd w:val="clear" w:color="auto" w:fill="auto"/>
                </w:tcPr>
                <w:p w14:paraId="6A9AF0AD" w14:textId="77777777" w:rsidR="00065DAD" w:rsidRPr="00FB33EF" w:rsidRDefault="00065DAD" w:rsidP="001011AE">
                  <w:pPr>
                    <w:jc w:val="both"/>
                    <w:rPr>
                      <w:sz w:val="20"/>
                      <w:szCs w:val="20"/>
                    </w:rPr>
                  </w:pPr>
                </w:p>
              </w:tc>
              <w:tc>
                <w:tcPr>
                  <w:tcW w:w="1898" w:type="dxa"/>
                </w:tcPr>
                <w:p w14:paraId="55101961" w14:textId="77777777" w:rsidR="00065DAD" w:rsidRPr="00FB33EF" w:rsidRDefault="00065DAD" w:rsidP="001011AE">
                  <w:pPr>
                    <w:jc w:val="both"/>
                    <w:rPr>
                      <w:sz w:val="20"/>
                      <w:szCs w:val="20"/>
                    </w:rPr>
                  </w:pPr>
                </w:p>
              </w:tc>
              <w:tc>
                <w:tcPr>
                  <w:tcW w:w="1417" w:type="dxa"/>
                  <w:shd w:val="clear" w:color="auto" w:fill="auto"/>
                </w:tcPr>
                <w:p w14:paraId="65AA73BB" w14:textId="77777777" w:rsidR="00065DAD" w:rsidRPr="00FB33EF" w:rsidRDefault="00065DAD" w:rsidP="001011AE">
                  <w:pPr>
                    <w:jc w:val="both"/>
                    <w:rPr>
                      <w:sz w:val="20"/>
                      <w:szCs w:val="20"/>
                    </w:rPr>
                  </w:pPr>
                </w:p>
              </w:tc>
              <w:tc>
                <w:tcPr>
                  <w:tcW w:w="1052" w:type="dxa"/>
                  <w:shd w:val="clear" w:color="auto" w:fill="auto"/>
                </w:tcPr>
                <w:p w14:paraId="5726B070" w14:textId="77777777" w:rsidR="00065DAD" w:rsidRPr="00FB33EF" w:rsidRDefault="00065DAD" w:rsidP="001011AE">
                  <w:pPr>
                    <w:jc w:val="both"/>
                    <w:rPr>
                      <w:sz w:val="20"/>
                      <w:szCs w:val="20"/>
                    </w:rPr>
                  </w:pPr>
                </w:p>
              </w:tc>
              <w:tc>
                <w:tcPr>
                  <w:tcW w:w="1358" w:type="dxa"/>
                </w:tcPr>
                <w:p w14:paraId="024B9AEC" w14:textId="77777777" w:rsidR="00065DAD" w:rsidRPr="00FB33EF" w:rsidRDefault="00065DAD" w:rsidP="001011AE">
                  <w:pPr>
                    <w:jc w:val="both"/>
                    <w:rPr>
                      <w:sz w:val="20"/>
                      <w:szCs w:val="20"/>
                    </w:rPr>
                  </w:pPr>
                </w:p>
              </w:tc>
            </w:tr>
          </w:tbl>
          <w:p w14:paraId="22DF97A1" w14:textId="77777777" w:rsidR="00065DAD" w:rsidRPr="00236232" w:rsidRDefault="00065DAD" w:rsidP="001011AE"/>
        </w:tc>
      </w:tr>
      <w:tr w:rsidR="00065DAD" w:rsidRPr="00236232" w14:paraId="6F02395D" w14:textId="77777777" w:rsidTr="001011AE">
        <w:tc>
          <w:tcPr>
            <w:tcW w:w="675" w:type="dxa"/>
            <w:shd w:val="clear" w:color="auto" w:fill="auto"/>
          </w:tcPr>
          <w:p w14:paraId="0E2BF18A" w14:textId="77777777" w:rsidR="00065DAD" w:rsidRPr="00236232" w:rsidRDefault="00065DAD" w:rsidP="001011AE">
            <w:pPr>
              <w:jc w:val="center"/>
            </w:pPr>
          </w:p>
          <w:p w14:paraId="46DE0217" w14:textId="77777777" w:rsidR="00065DAD" w:rsidRPr="00236232" w:rsidRDefault="00065DAD" w:rsidP="001011AE">
            <w:pPr>
              <w:jc w:val="center"/>
            </w:pPr>
            <w:r w:rsidRPr="00236232">
              <w:t>9</w:t>
            </w:r>
          </w:p>
        </w:tc>
        <w:tc>
          <w:tcPr>
            <w:tcW w:w="8931" w:type="dxa"/>
            <w:shd w:val="clear" w:color="auto" w:fill="auto"/>
          </w:tcPr>
          <w:p w14:paraId="4E0306B8" w14:textId="77777777" w:rsidR="00065DAD" w:rsidRPr="00236232" w:rsidRDefault="00065DAD" w:rsidP="001011AE">
            <w:pPr>
              <w:tabs>
                <w:tab w:val="left" w:pos="426"/>
                <w:tab w:val="left" w:pos="993"/>
              </w:tabs>
              <w:ind w:firstLine="284"/>
              <w:jc w:val="both"/>
            </w:pPr>
            <w:r w:rsidRPr="00236232">
              <w:t xml:space="preserve">- </w:t>
            </w:r>
            <w:r w:rsidRPr="00FB33EF">
              <w:rPr>
                <w:color w:val="000000" w:themeColor="text1"/>
              </w:rPr>
              <w:t>других статей баланса с долей более 5% в общей структуре баланса</w:t>
            </w:r>
            <w:r w:rsidRPr="00236232">
              <w:rPr>
                <w:color w:val="000000" w:themeColor="text1"/>
              </w:rPr>
              <w:t>;</w:t>
            </w:r>
          </w:p>
          <w:p w14:paraId="65259CEE" w14:textId="77777777" w:rsidR="00065DAD" w:rsidRPr="00236232" w:rsidRDefault="00065DAD" w:rsidP="001011AE">
            <w:pPr>
              <w:tabs>
                <w:tab w:val="left" w:pos="426"/>
                <w:tab w:val="left" w:pos="993"/>
              </w:tabs>
              <w:ind w:firstLine="284"/>
              <w:jc w:val="both"/>
            </w:pPr>
            <w:r w:rsidRPr="00236232">
              <w:t>Анализ сч.51, сч.50 по субконто в разрезе по банкам за предыдущий отчетный год и полные месяцы текущего года (с разбивкой по месяцам);</w:t>
            </w:r>
          </w:p>
        </w:tc>
      </w:tr>
      <w:tr w:rsidR="00065DAD" w:rsidRPr="00236232" w14:paraId="63AE6A6E" w14:textId="77777777" w:rsidTr="001011AE">
        <w:tc>
          <w:tcPr>
            <w:tcW w:w="675" w:type="dxa"/>
            <w:shd w:val="clear" w:color="auto" w:fill="auto"/>
          </w:tcPr>
          <w:p w14:paraId="435F9BFF" w14:textId="77777777" w:rsidR="00065DAD" w:rsidRPr="00236232" w:rsidRDefault="00065DAD" w:rsidP="001011AE">
            <w:pPr>
              <w:jc w:val="center"/>
            </w:pPr>
            <w:r w:rsidRPr="00236232">
              <w:t>10</w:t>
            </w:r>
          </w:p>
        </w:tc>
        <w:tc>
          <w:tcPr>
            <w:tcW w:w="8931" w:type="dxa"/>
            <w:shd w:val="clear" w:color="auto" w:fill="auto"/>
          </w:tcPr>
          <w:p w14:paraId="45F05F2D" w14:textId="77777777" w:rsidR="00065DAD" w:rsidRPr="00236232" w:rsidRDefault="00065DAD" w:rsidP="001011AE">
            <w:pPr>
              <w:ind w:firstLine="284"/>
              <w:jc w:val="both"/>
            </w:pPr>
            <w:r w:rsidRPr="00236232">
              <w:t>Обороты по кассе за предыдущий отчетный год и полные месяцы текущего года (с разбивкой по месяцам), в т.ч. «сдано в банк» и «получено из банка»;</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2777"/>
              <w:gridCol w:w="2013"/>
              <w:gridCol w:w="2268"/>
            </w:tblGrid>
            <w:tr w:rsidR="00065DAD" w:rsidRPr="003F52A8" w14:paraId="6054E553" w14:textId="77777777" w:rsidTr="001011AE">
              <w:tc>
                <w:tcPr>
                  <w:tcW w:w="1618" w:type="dxa"/>
                  <w:shd w:val="clear" w:color="auto" w:fill="DEEAF6"/>
                </w:tcPr>
                <w:p w14:paraId="31801D83" w14:textId="77777777" w:rsidR="00065DAD" w:rsidRPr="00FB33EF" w:rsidRDefault="00065DAD" w:rsidP="001011AE">
                  <w:pPr>
                    <w:jc w:val="center"/>
                    <w:rPr>
                      <w:sz w:val="20"/>
                      <w:szCs w:val="20"/>
                    </w:rPr>
                  </w:pPr>
                  <w:r w:rsidRPr="00FB33EF">
                    <w:rPr>
                      <w:sz w:val="20"/>
                      <w:szCs w:val="20"/>
                    </w:rPr>
                    <w:t>Месяц</w:t>
                  </w:r>
                </w:p>
              </w:tc>
              <w:tc>
                <w:tcPr>
                  <w:tcW w:w="2777" w:type="dxa"/>
                  <w:shd w:val="clear" w:color="auto" w:fill="DEEAF6"/>
                </w:tcPr>
                <w:p w14:paraId="1AF8EE1A" w14:textId="77777777" w:rsidR="00065DAD" w:rsidRPr="00FB33EF" w:rsidRDefault="00065DAD" w:rsidP="001011AE">
                  <w:pPr>
                    <w:jc w:val="center"/>
                    <w:rPr>
                      <w:sz w:val="20"/>
                      <w:szCs w:val="20"/>
                    </w:rPr>
                  </w:pPr>
                  <w:r w:rsidRPr="00FB33EF">
                    <w:rPr>
                      <w:sz w:val="20"/>
                      <w:szCs w:val="20"/>
                    </w:rPr>
                    <w:t>Оборот по кассе помесячно</w:t>
                  </w:r>
                </w:p>
              </w:tc>
              <w:tc>
                <w:tcPr>
                  <w:tcW w:w="2013" w:type="dxa"/>
                  <w:shd w:val="clear" w:color="auto" w:fill="DEEAF6"/>
                </w:tcPr>
                <w:p w14:paraId="5AD3282C" w14:textId="77777777" w:rsidR="00065DAD" w:rsidRPr="00FB33EF" w:rsidRDefault="00065DAD" w:rsidP="001011AE">
                  <w:pPr>
                    <w:jc w:val="center"/>
                    <w:rPr>
                      <w:sz w:val="20"/>
                      <w:szCs w:val="20"/>
                    </w:rPr>
                  </w:pPr>
                  <w:r w:rsidRPr="00FB33EF">
                    <w:rPr>
                      <w:sz w:val="20"/>
                      <w:szCs w:val="20"/>
                    </w:rPr>
                    <w:t>В т.ч. получено из банка</w:t>
                  </w:r>
                </w:p>
              </w:tc>
              <w:tc>
                <w:tcPr>
                  <w:tcW w:w="2268" w:type="dxa"/>
                  <w:shd w:val="clear" w:color="auto" w:fill="DEEAF6"/>
                </w:tcPr>
                <w:p w14:paraId="71B8F9D2" w14:textId="77777777" w:rsidR="00065DAD" w:rsidRPr="00FB33EF" w:rsidRDefault="00065DAD" w:rsidP="001011AE">
                  <w:pPr>
                    <w:jc w:val="center"/>
                    <w:rPr>
                      <w:sz w:val="20"/>
                      <w:szCs w:val="20"/>
                    </w:rPr>
                  </w:pPr>
                  <w:r w:rsidRPr="00FB33EF">
                    <w:rPr>
                      <w:sz w:val="20"/>
                      <w:szCs w:val="20"/>
                    </w:rPr>
                    <w:t>В т.ч сдано в банк.</w:t>
                  </w:r>
                </w:p>
              </w:tc>
            </w:tr>
            <w:tr w:rsidR="00065DAD" w:rsidRPr="00236232" w14:paraId="0DBF8C98" w14:textId="77777777" w:rsidTr="001011AE">
              <w:tc>
                <w:tcPr>
                  <w:tcW w:w="1618" w:type="dxa"/>
                  <w:shd w:val="clear" w:color="auto" w:fill="auto"/>
                </w:tcPr>
                <w:p w14:paraId="33EE7AB1" w14:textId="77777777" w:rsidR="00065DAD" w:rsidRPr="00236232" w:rsidRDefault="00065DAD" w:rsidP="001011AE">
                  <w:pPr>
                    <w:jc w:val="both"/>
                    <w:rPr>
                      <w:b/>
                    </w:rPr>
                  </w:pPr>
                </w:p>
              </w:tc>
              <w:tc>
                <w:tcPr>
                  <w:tcW w:w="2777" w:type="dxa"/>
                  <w:shd w:val="clear" w:color="auto" w:fill="auto"/>
                </w:tcPr>
                <w:p w14:paraId="5EE5B476" w14:textId="77777777" w:rsidR="00065DAD" w:rsidRPr="00236232" w:rsidRDefault="00065DAD" w:rsidP="001011AE">
                  <w:pPr>
                    <w:jc w:val="both"/>
                    <w:rPr>
                      <w:b/>
                    </w:rPr>
                  </w:pPr>
                </w:p>
              </w:tc>
              <w:tc>
                <w:tcPr>
                  <w:tcW w:w="2013" w:type="dxa"/>
                  <w:shd w:val="clear" w:color="auto" w:fill="auto"/>
                </w:tcPr>
                <w:p w14:paraId="2D48FCBE" w14:textId="77777777" w:rsidR="00065DAD" w:rsidRPr="00236232" w:rsidRDefault="00065DAD" w:rsidP="001011AE">
                  <w:pPr>
                    <w:jc w:val="both"/>
                    <w:rPr>
                      <w:b/>
                    </w:rPr>
                  </w:pPr>
                </w:p>
              </w:tc>
              <w:tc>
                <w:tcPr>
                  <w:tcW w:w="2268" w:type="dxa"/>
                  <w:shd w:val="clear" w:color="auto" w:fill="auto"/>
                </w:tcPr>
                <w:p w14:paraId="6414D1C0" w14:textId="77777777" w:rsidR="00065DAD" w:rsidRPr="00236232" w:rsidRDefault="00065DAD" w:rsidP="001011AE">
                  <w:pPr>
                    <w:jc w:val="both"/>
                    <w:rPr>
                      <w:b/>
                    </w:rPr>
                  </w:pPr>
                </w:p>
              </w:tc>
            </w:tr>
          </w:tbl>
          <w:p w14:paraId="08814E88" w14:textId="77777777" w:rsidR="00065DAD" w:rsidRPr="00236232" w:rsidRDefault="00065DAD" w:rsidP="001011AE">
            <w:pPr>
              <w:ind w:firstLine="284"/>
              <w:jc w:val="both"/>
            </w:pPr>
          </w:p>
        </w:tc>
      </w:tr>
      <w:tr w:rsidR="00065DAD" w:rsidRPr="00236232" w14:paraId="289200CD" w14:textId="77777777" w:rsidTr="001011AE">
        <w:tc>
          <w:tcPr>
            <w:tcW w:w="675" w:type="dxa"/>
            <w:shd w:val="clear" w:color="auto" w:fill="auto"/>
          </w:tcPr>
          <w:p w14:paraId="3535F28D" w14:textId="77777777" w:rsidR="00065DAD" w:rsidRPr="00236232" w:rsidRDefault="00065DAD" w:rsidP="001011AE">
            <w:pPr>
              <w:jc w:val="center"/>
            </w:pPr>
            <w:r w:rsidRPr="00236232">
              <w:t>11</w:t>
            </w:r>
          </w:p>
        </w:tc>
        <w:tc>
          <w:tcPr>
            <w:tcW w:w="8931" w:type="dxa"/>
            <w:shd w:val="clear" w:color="auto" w:fill="auto"/>
          </w:tcPr>
          <w:p w14:paraId="71A6D6F9" w14:textId="77777777" w:rsidR="00065DAD" w:rsidRPr="00236232" w:rsidRDefault="00065DAD" w:rsidP="001011AE">
            <w:pPr>
              <w:ind w:firstLine="284"/>
              <w:jc w:val="both"/>
            </w:pPr>
            <w:r w:rsidRPr="00236232">
              <w:t xml:space="preserve">Оборотно – сальдовые ведомости по сч. 01, 02, 10 (и прочие счета, где отражаются запасы) 58, 60, 62, 63, 66, 67, 68, 69, 70, 71, 76, 90, 91 по квартально на отчетные даты. Дополнительно, </w:t>
            </w:r>
            <w:r w:rsidRPr="00236232">
              <w:rPr>
                <w:u w:val="single"/>
              </w:rPr>
              <w:t>для Поставщика</w:t>
            </w:r>
            <w:r w:rsidRPr="00236232">
              <w:t xml:space="preserve"> -  ОСВ сч. 62 за последние 12 месяцев по субсчетам, субконто в разрезе контрагентов отдельно за каждый месяц;</w:t>
            </w:r>
          </w:p>
        </w:tc>
      </w:tr>
      <w:tr w:rsidR="00065DAD" w:rsidRPr="00236232" w14:paraId="5DC711CD" w14:textId="77777777" w:rsidTr="001011AE">
        <w:tc>
          <w:tcPr>
            <w:tcW w:w="675" w:type="dxa"/>
            <w:shd w:val="clear" w:color="auto" w:fill="auto"/>
          </w:tcPr>
          <w:p w14:paraId="04357325" w14:textId="77777777" w:rsidR="00065DAD" w:rsidRPr="00236232" w:rsidRDefault="00065DAD" w:rsidP="001011AE">
            <w:pPr>
              <w:jc w:val="center"/>
            </w:pPr>
            <w:r w:rsidRPr="00236232">
              <w:t>12</w:t>
            </w:r>
          </w:p>
        </w:tc>
        <w:tc>
          <w:tcPr>
            <w:tcW w:w="8931" w:type="dxa"/>
            <w:shd w:val="clear" w:color="auto" w:fill="auto"/>
          </w:tcPr>
          <w:p w14:paraId="118F0E89" w14:textId="77777777" w:rsidR="00065DAD" w:rsidRPr="00236232" w:rsidRDefault="00065DAD" w:rsidP="001011AE">
            <w:pPr>
              <w:tabs>
                <w:tab w:val="left" w:pos="426"/>
              </w:tabs>
              <w:ind w:firstLine="284"/>
              <w:jc w:val="both"/>
            </w:pPr>
            <w:r w:rsidRPr="00236232">
              <w:t>Справки из ИФНС / банков со сроком давности не более 30 календарных дней:</w:t>
            </w:r>
          </w:p>
          <w:p w14:paraId="382D6B2C" w14:textId="77777777" w:rsidR="00065DAD" w:rsidRPr="00236232" w:rsidRDefault="00065DAD" w:rsidP="00065DAD">
            <w:pPr>
              <w:widowControl/>
              <w:numPr>
                <w:ilvl w:val="0"/>
                <w:numId w:val="4"/>
              </w:numPr>
              <w:tabs>
                <w:tab w:val="left" w:pos="426"/>
              </w:tabs>
              <w:suppressAutoHyphens w:val="0"/>
              <w:ind w:left="0" w:firstLine="284"/>
              <w:jc w:val="both"/>
            </w:pPr>
            <w:r w:rsidRPr="00236232">
              <w:t>справка ФНС об открытых счетах;</w:t>
            </w:r>
          </w:p>
          <w:p w14:paraId="417542D0" w14:textId="77777777" w:rsidR="00065DAD" w:rsidRPr="00236232" w:rsidRDefault="00065DAD" w:rsidP="00065DAD">
            <w:pPr>
              <w:widowControl/>
              <w:numPr>
                <w:ilvl w:val="0"/>
                <w:numId w:val="4"/>
              </w:numPr>
              <w:tabs>
                <w:tab w:val="left" w:pos="426"/>
              </w:tabs>
              <w:suppressAutoHyphens w:val="0"/>
              <w:ind w:left="0" w:firstLine="284"/>
              <w:jc w:val="both"/>
            </w:pPr>
            <w:r w:rsidRPr="00236232">
              <w:t>справка ФНС о состоянии расчетов по налогам и сборам. Если по справке имеется задолженность – копии платежных поручений об оплате.</w:t>
            </w:r>
          </w:p>
          <w:p w14:paraId="4A90F882" w14:textId="77777777" w:rsidR="00065DAD" w:rsidRPr="00236232" w:rsidRDefault="00065DAD" w:rsidP="00065DAD">
            <w:pPr>
              <w:widowControl/>
              <w:numPr>
                <w:ilvl w:val="0"/>
                <w:numId w:val="4"/>
              </w:numPr>
              <w:tabs>
                <w:tab w:val="left" w:pos="426"/>
              </w:tabs>
              <w:suppressAutoHyphens w:val="0"/>
              <w:ind w:left="0" w:firstLine="284"/>
              <w:jc w:val="both"/>
            </w:pPr>
            <w:r w:rsidRPr="00236232">
              <w:t>справки об оборотах по расчетным счетам, открытым в других банках за последние шесть месяцев (предоставленные банком и заверенные должным образом) со сроком давности не более 30 календарных дней;</w:t>
            </w:r>
          </w:p>
          <w:p w14:paraId="369A6FFD" w14:textId="77777777" w:rsidR="00065DAD" w:rsidRPr="00236232" w:rsidRDefault="00065DAD" w:rsidP="001011AE">
            <w:pPr>
              <w:ind w:firstLine="284"/>
              <w:jc w:val="both"/>
            </w:pPr>
            <w:r w:rsidRPr="00236232">
              <w:t>- справки о наличии / отсутствии и состоянии картотек, наличии / отсутствии ссудной задолженности, в том числе просроченной со сроком давности не более 30 календарных (предоставленные банком и заверенные должным образом);</w:t>
            </w:r>
          </w:p>
        </w:tc>
      </w:tr>
      <w:tr w:rsidR="00065DAD" w:rsidRPr="00A154F1" w14:paraId="1B69FFF8" w14:textId="77777777" w:rsidTr="001011AE">
        <w:tc>
          <w:tcPr>
            <w:tcW w:w="675" w:type="dxa"/>
            <w:shd w:val="clear" w:color="auto" w:fill="auto"/>
          </w:tcPr>
          <w:p w14:paraId="3902DDF5" w14:textId="77777777" w:rsidR="00065DAD" w:rsidRPr="00236232" w:rsidRDefault="00065DAD" w:rsidP="001011AE">
            <w:pPr>
              <w:jc w:val="center"/>
            </w:pPr>
            <w:r w:rsidRPr="00236232">
              <w:t>13</w:t>
            </w:r>
          </w:p>
        </w:tc>
        <w:tc>
          <w:tcPr>
            <w:tcW w:w="8931" w:type="dxa"/>
            <w:shd w:val="clear" w:color="auto" w:fill="auto"/>
          </w:tcPr>
          <w:p w14:paraId="3E09DCD7" w14:textId="77777777" w:rsidR="00065DAD" w:rsidRPr="00A154F1" w:rsidRDefault="00065DAD" w:rsidP="001011AE">
            <w:pPr>
              <w:tabs>
                <w:tab w:val="left" w:pos="426"/>
                <w:tab w:val="num" w:pos="993"/>
                <w:tab w:val="left" w:pos="1134"/>
              </w:tabs>
              <w:ind w:firstLine="351"/>
            </w:pPr>
            <w:r w:rsidRPr="00236232">
              <w:t>Налоговые декларации: налог на прибыль, НДС за пять последних отчетных периода (в случае применения УСН</w:t>
            </w:r>
            <w:r>
              <w:t>/ЕСХН</w:t>
            </w:r>
            <w:r w:rsidRPr="00236232">
              <w:t xml:space="preserve"> – налоговую декларацию за два последних отчетных года с книгой учета доходов и расходов).</w:t>
            </w:r>
          </w:p>
        </w:tc>
      </w:tr>
      <w:tr w:rsidR="00065DAD" w:rsidRPr="00A154F1" w14:paraId="2D26B6CE" w14:textId="77777777" w:rsidTr="001011AE">
        <w:tc>
          <w:tcPr>
            <w:tcW w:w="675" w:type="dxa"/>
            <w:shd w:val="clear" w:color="auto" w:fill="auto"/>
          </w:tcPr>
          <w:p w14:paraId="4C8D9B18" w14:textId="77777777" w:rsidR="00065DAD" w:rsidRPr="00A154F1" w:rsidRDefault="00065DAD" w:rsidP="001011AE">
            <w:pPr>
              <w:jc w:val="center"/>
            </w:pPr>
            <w:r w:rsidRPr="00A154F1">
              <w:t>14</w:t>
            </w:r>
          </w:p>
        </w:tc>
        <w:tc>
          <w:tcPr>
            <w:tcW w:w="8931" w:type="dxa"/>
            <w:shd w:val="clear" w:color="auto" w:fill="auto"/>
          </w:tcPr>
          <w:p w14:paraId="6F83C4ED" w14:textId="77777777" w:rsidR="00065DAD" w:rsidRPr="00A154F1" w:rsidRDefault="00065DAD" w:rsidP="001011AE">
            <w:pPr>
              <w:tabs>
                <w:tab w:val="left" w:pos="142"/>
                <w:tab w:val="left" w:pos="1134"/>
              </w:tabs>
              <w:ind w:firstLine="284"/>
              <w:jc w:val="both"/>
            </w:pPr>
            <w:r w:rsidRPr="00A154F1">
              <w:t xml:space="preserve">Действующий договор аренды помещения, где предприятие зарегистрировано юридически и находится фактически (офисы, склады, производственные базы и пр.) с </w:t>
            </w:r>
            <w:r w:rsidRPr="00FB33EF">
              <w:rPr>
                <w:color w:val="000000" w:themeColor="text1"/>
              </w:rPr>
              <w:t>приложением документов, подтверждающих оплату аренды</w:t>
            </w:r>
            <w:r w:rsidRPr="00A154F1">
              <w:t>. В случае если помещение в собственности – свидетельство о праве собственности;</w:t>
            </w:r>
          </w:p>
        </w:tc>
      </w:tr>
      <w:tr w:rsidR="00065DAD" w:rsidRPr="00FB33EF" w14:paraId="1A5B2C4A" w14:textId="77777777" w:rsidTr="001011AE">
        <w:tc>
          <w:tcPr>
            <w:tcW w:w="675" w:type="dxa"/>
            <w:shd w:val="clear" w:color="auto" w:fill="auto"/>
          </w:tcPr>
          <w:p w14:paraId="413FB64E" w14:textId="77777777" w:rsidR="00065DAD" w:rsidRPr="00A154F1" w:rsidRDefault="00065DAD" w:rsidP="001011AE">
            <w:pPr>
              <w:jc w:val="center"/>
            </w:pPr>
            <w:r w:rsidRPr="00A154F1">
              <w:t>15</w:t>
            </w:r>
          </w:p>
          <w:p w14:paraId="4441B463" w14:textId="77777777" w:rsidR="00065DAD" w:rsidRPr="00A154F1" w:rsidRDefault="00065DAD" w:rsidP="001011AE">
            <w:pPr>
              <w:jc w:val="center"/>
            </w:pPr>
          </w:p>
          <w:p w14:paraId="27B222F1" w14:textId="77777777" w:rsidR="00065DAD" w:rsidRPr="00A154F1" w:rsidRDefault="00065DAD" w:rsidP="001011AE">
            <w:pPr>
              <w:jc w:val="center"/>
            </w:pPr>
          </w:p>
          <w:p w14:paraId="77F33D62" w14:textId="77777777" w:rsidR="00065DAD" w:rsidRPr="00A154F1" w:rsidRDefault="00065DAD" w:rsidP="001011AE">
            <w:pPr>
              <w:jc w:val="center"/>
            </w:pPr>
            <w:r w:rsidRPr="00A154F1">
              <w:lastRenderedPageBreak/>
              <w:t>16</w:t>
            </w:r>
          </w:p>
        </w:tc>
        <w:tc>
          <w:tcPr>
            <w:tcW w:w="8931" w:type="dxa"/>
            <w:shd w:val="clear" w:color="auto" w:fill="auto"/>
          </w:tcPr>
          <w:p w14:paraId="4986BD88" w14:textId="77777777" w:rsidR="00065DAD" w:rsidRPr="00A154F1" w:rsidRDefault="00065DAD" w:rsidP="001011AE">
            <w:pPr>
              <w:widowControl/>
              <w:suppressAutoHyphens w:val="0"/>
              <w:ind w:firstLine="351"/>
              <w:jc w:val="both"/>
            </w:pPr>
            <w:r w:rsidRPr="00A154F1">
              <w:lastRenderedPageBreak/>
              <w:t xml:space="preserve">Договоры, заключенные с основными поставщиками и покупателями (4-5 шт.) (предоставляются договоры по самым крупным дебиторам и кредиторам на отчетную дату); </w:t>
            </w:r>
          </w:p>
          <w:p w14:paraId="5121D7A8" w14:textId="77777777" w:rsidR="00065DAD" w:rsidRPr="00FB33EF" w:rsidRDefault="00065DAD" w:rsidP="001011AE">
            <w:pPr>
              <w:widowControl/>
              <w:suppressAutoHyphens w:val="0"/>
              <w:ind w:firstLine="351"/>
              <w:jc w:val="both"/>
              <w:rPr>
                <w:rFonts w:eastAsia="Times New Roman"/>
                <w:color w:val="000000" w:themeColor="text1"/>
                <w:kern w:val="0"/>
              </w:rPr>
            </w:pPr>
            <w:r w:rsidRPr="00FB33EF">
              <w:rPr>
                <w:rFonts w:eastAsia="Times New Roman"/>
                <w:color w:val="000000" w:themeColor="text1"/>
                <w:kern w:val="0"/>
              </w:rPr>
              <w:lastRenderedPageBreak/>
              <w:t>Ш</w:t>
            </w:r>
            <w:r w:rsidRPr="00A154F1">
              <w:rPr>
                <w:rFonts w:eastAsia="Times New Roman"/>
                <w:color w:val="000000" w:themeColor="text1"/>
                <w:kern w:val="0"/>
              </w:rPr>
              <w:t>татное расписание (действующее);</w:t>
            </w:r>
          </w:p>
        </w:tc>
      </w:tr>
      <w:tr w:rsidR="00065DAD" w:rsidRPr="00A154F1" w14:paraId="35A7A924" w14:textId="77777777" w:rsidTr="001011AE">
        <w:tc>
          <w:tcPr>
            <w:tcW w:w="675" w:type="dxa"/>
            <w:shd w:val="clear" w:color="auto" w:fill="auto"/>
          </w:tcPr>
          <w:p w14:paraId="36BEC7B5" w14:textId="77777777" w:rsidR="00065DAD" w:rsidRPr="00A154F1" w:rsidRDefault="00065DAD" w:rsidP="001011AE">
            <w:pPr>
              <w:jc w:val="center"/>
            </w:pPr>
            <w:r w:rsidRPr="00A154F1">
              <w:lastRenderedPageBreak/>
              <w:t>17</w:t>
            </w:r>
          </w:p>
        </w:tc>
        <w:tc>
          <w:tcPr>
            <w:tcW w:w="8931" w:type="dxa"/>
            <w:shd w:val="clear" w:color="auto" w:fill="auto"/>
          </w:tcPr>
          <w:p w14:paraId="500046C4" w14:textId="77777777" w:rsidR="00065DAD" w:rsidRPr="00A154F1" w:rsidRDefault="00065DAD" w:rsidP="001011AE">
            <w:pPr>
              <w:tabs>
                <w:tab w:val="left" w:pos="142"/>
                <w:tab w:val="left" w:pos="1134"/>
              </w:tabs>
              <w:ind w:firstLine="284"/>
              <w:jc w:val="both"/>
            </w:pPr>
            <w:r w:rsidRPr="00A154F1">
              <w:t>Приказ о назначении главного бухгалтера;</w:t>
            </w:r>
          </w:p>
        </w:tc>
      </w:tr>
      <w:tr w:rsidR="00065DAD" w:rsidRPr="00A154F1" w14:paraId="6B5DDC91" w14:textId="77777777" w:rsidTr="001011AE">
        <w:tc>
          <w:tcPr>
            <w:tcW w:w="675" w:type="dxa"/>
            <w:shd w:val="clear" w:color="auto" w:fill="auto"/>
          </w:tcPr>
          <w:p w14:paraId="7C109F0B" w14:textId="77777777" w:rsidR="00065DAD" w:rsidRPr="00A154F1" w:rsidRDefault="00065DAD" w:rsidP="001011AE">
            <w:pPr>
              <w:jc w:val="center"/>
            </w:pPr>
            <w:r w:rsidRPr="00A154F1">
              <w:t>18</w:t>
            </w:r>
          </w:p>
        </w:tc>
        <w:tc>
          <w:tcPr>
            <w:tcW w:w="8931" w:type="dxa"/>
            <w:shd w:val="clear" w:color="auto" w:fill="auto"/>
          </w:tcPr>
          <w:p w14:paraId="24B26873" w14:textId="77777777" w:rsidR="00065DAD" w:rsidRPr="00A154F1" w:rsidRDefault="00065DAD" w:rsidP="001011AE">
            <w:pPr>
              <w:tabs>
                <w:tab w:val="left" w:pos="142"/>
                <w:tab w:val="left" w:pos="1134"/>
              </w:tabs>
              <w:ind w:firstLine="284"/>
              <w:jc w:val="both"/>
            </w:pPr>
            <w:r w:rsidRPr="00A154F1">
              <w:t xml:space="preserve">Паспорт - все страницы на всех учредителей; поручителей (при наличии поручительства), </w:t>
            </w:r>
            <w:r w:rsidRPr="00FB33EF">
              <w:rPr>
                <w:rFonts w:eastAsia="MS Mincho"/>
                <w:color w:val="000000" w:themeColor="text1"/>
                <w:kern w:val="0"/>
                <w:lang w:eastAsia="en-US"/>
              </w:rPr>
              <w:t>руководителя, фактических владельцев бизнеса</w:t>
            </w:r>
            <w:r w:rsidRPr="00A154F1">
              <w:t>;</w:t>
            </w:r>
          </w:p>
        </w:tc>
      </w:tr>
      <w:tr w:rsidR="00065DAD" w:rsidRPr="00A154F1" w14:paraId="27339CD9" w14:textId="77777777" w:rsidTr="001011AE">
        <w:tc>
          <w:tcPr>
            <w:tcW w:w="675" w:type="dxa"/>
            <w:shd w:val="clear" w:color="auto" w:fill="auto"/>
          </w:tcPr>
          <w:p w14:paraId="0AE389E2" w14:textId="77777777" w:rsidR="00065DAD" w:rsidRPr="00A154F1" w:rsidRDefault="00065DAD" w:rsidP="001011AE">
            <w:pPr>
              <w:jc w:val="center"/>
            </w:pPr>
            <w:r w:rsidRPr="00A154F1">
              <w:t>19</w:t>
            </w:r>
          </w:p>
        </w:tc>
        <w:tc>
          <w:tcPr>
            <w:tcW w:w="8931" w:type="dxa"/>
            <w:shd w:val="clear" w:color="auto" w:fill="auto"/>
          </w:tcPr>
          <w:p w14:paraId="562D6975" w14:textId="77777777" w:rsidR="00065DAD" w:rsidRPr="00A154F1" w:rsidRDefault="00065DAD" w:rsidP="001011AE">
            <w:pPr>
              <w:tabs>
                <w:tab w:val="left" w:pos="1134"/>
              </w:tabs>
              <w:ind w:firstLine="284"/>
              <w:jc w:val="both"/>
            </w:pPr>
            <w:r w:rsidRPr="00A154F1">
              <w:t>Лицензии / СРО (заверенные клиентом), подтверждающих право заниматься отдельными видами деятельности;</w:t>
            </w:r>
          </w:p>
        </w:tc>
      </w:tr>
      <w:tr w:rsidR="00065DAD" w:rsidRPr="00A154F1" w14:paraId="3C018A84" w14:textId="77777777" w:rsidTr="001011AE">
        <w:tc>
          <w:tcPr>
            <w:tcW w:w="675" w:type="dxa"/>
            <w:shd w:val="clear" w:color="auto" w:fill="auto"/>
          </w:tcPr>
          <w:p w14:paraId="02150787" w14:textId="77777777" w:rsidR="00065DAD" w:rsidRPr="00A154F1" w:rsidRDefault="00065DAD" w:rsidP="001011AE">
            <w:pPr>
              <w:jc w:val="center"/>
            </w:pPr>
            <w:r w:rsidRPr="00A154F1">
              <w:t>20</w:t>
            </w:r>
          </w:p>
        </w:tc>
        <w:tc>
          <w:tcPr>
            <w:tcW w:w="8931" w:type="dxa"/>
            <w:shd w:val="clear" w:color="auto" w:fill="auto"/>
          </w:tcPr>
          <w:p w14:paraId="7BCE7F96" w14:textId="77777777" w:rsidR="00065DAD" w:rsidRPr="00A154F1" w:rsidRDefault="00065DAD" w:rsidP="001011AE">
            <w:pPr>
              <w:tabs>
                <w:tab w:val="left" w:pos="1134"/>
              </w:tabs>
              <w:ind w:firstLine="284"/>
              <w:jc w:val="both"/>
            </w:pPr>
            <w:r w:rsidRPr="00A154F1">
              <w:t>Учетная политика предприятия в действующей редакции, Приказ об утверждении учетной политики;</w:t>
            </w:r>
          </w:p>
        </w:tc>
      </w:tr>
      <w:tr w:rsidR="00065DAD" w:rsidRPr="00A154F1" w14:paraId="093F289B" w14:textId="77777777" w:rsidTr="001011AE">
        <w:tc>
          <w:tcPr>
            <w:tcW w:w="675" w:type="dxa"/>
            <w:shd w:val="clear" w:color="auto" w:fill="auto"/>
          </w:tcPr>
          <w:p w14:paraId="222BBF73" w14:textId="77777777" w:rsidR="00065DAD" w:rsidRPr="00A154F1" w:rsidRDefault="00065DAD" w:rsidP="001011AE">
            <w:pPr>
              <w:jc w:val="center"/>
            </w:pPr>
            <w:r w:rsidRPr="00A154F1">
              <w:t>21</w:t>
            </w:r>
          </w:p>
        </w:tc>
        <w:tc>
          <w:tcPr>
            <w:tcW w:w="8931" w:type="dxa"/>
            <w:shd w:val="clear" w:color="auto" w:fill="auto"/>
          </w:tcPr>
          <w:p w14:paraId="035C5BEC" w14:textId="77777777" w:rsidR="00065DAD" w:rsidRPr="00A154F1" w:rsidRDefault="00065DAD" w:rsidP="001011AE">
            <w:pPr>
              <w:tabs>
                <w:tab w:val="left" w:pos="142"/>
                <w:tab w:val="left" w:pos="1134"/>
              </w:tabs>
              <w:ind w:firstLine="284"/>
              <w:jc w:val="both"/>
            </w:pPr>
            <w:r w:rsidRPr="00A154F1">
              <w:t xml:space="preserve">Согласие на обработку персональных данных, на запрос </w:t>
            </w:r>
            <w:r w:rsidRPr="00FB33EF">
              <w:rPr>
                <w:rFonts w:eastAsia="Times New Roman"/>
                <w:color w:val="000000" w:themeColor="text1"/>
                <w:kern w:val="0"/>
              </w:rPr>
              <w:t xml:space="preserve">информации </w:t>
            </w:r>
            <w:r w:rsidRPr="00A154F1">
              <w:rPr>
                <w:rFonts w:eastAsia="Times New Roman"/>
                <w:color w:val="000000" w:themeColor="text1"/>
                <w:kern w:val="0"/>
              </w:rPr>
              <w:t>в</w:t>
            </w:r>
            <w:r w:rsidRPr="00FB33EF">
              <w:rPr>
                <w:rFonts w:eastAsia="Times New Roman"/>
                <w:color w:val="000000" w:themeColor="text1"/>
                <w:kern w:val="0"/>
              </w:rPr>
              <w:t xml:space="preserve"> бюро кредитных историй</w:t>
            </w:r>
            <w:r w:rsidRPr="00A154F1">
              <w:t xml:space="preserve"> на Клиента/Поручителей и согласие налоговому органу от Клиента о разглашении сведений (по форме банка - оригинал);</w:t>
            </w:r>
          </w:p>
        </w:tc>
      </w:tr>
      <w:tr w:rsidR="00065DAD" w:rsidRPr="00A154F1" w14:paraId="5B78235D" w14:textId="77777777" w:rsidTr="001011AE">
        <w:tc>
          <w:tcPr>
            <w:tcW w:w="675" w:type="dxa"/>
            <w:shd w:val="clear" w:color="auto" w:fill="auto"/>
          </w:tcPr>
          <w:p w14:paraId="57057ACE" w14:textId="77777777" w:rsidR="00065DAD" w:rsidRPr="00A154F1" w:rsidRDefault="00065DAD" w:rsidP="001011AE">
            <w:pPr>
              <w:jc w:val="center"/>
            </w:pPr>
            <w:r w:rsidRPr="00A154F1">
              <w:t>2</w:t>
            </w:r>
            <w:bookmarkStart w:id="1" w:name="_GoBack"/>
            <w:bookmarkEnd w:id="1"/>
            <w:r w:rsidRPr="00A154F1">
              <w:t>2</w:t>
            </w:r>
          </w:p>
        </w:tc>
        <w:tc>
          <w:tcPr>
            <w:tcW w:w="8931" w:type="dxa"/>
            <w:shd w:val="clear" w:color="auto" w:fill="auto"/>
          </w:tcPr>
          <w:p w14:paraId="08450908" w14:textId="74D264C7" w:rsidR="002469E6" w:rsidRPr="00A154F1" w:rsidRDefault="00065DAD" w:rsidP="002469E6">
            <w:pPr>
              <w:pStyle w:val="a6"/>
              <w:pBdr>
                <w:bottom w:val="single" w:sz="12" w:space="1" w:color="auto"/>
              </w:pBdr>
              <w:ind w:left="0" w:firstLine="284"/>
              <w:contextualSpacing w:val="0"/>
            </w:pPr>
            <w:r w:rsidRPr="00A154F1">
              <w:t>Учредительные документы на Клиента/</w:t>
            </w:r>
            <w:r w:rsidRPr="00A154F1" w:rsidDel="00B159D6">
              <w:t xml:space="preserve"> </w:t>
            </w:r>
            <w:r w:rsidRPr="00A154F1">
              <w:t>поручителя (Устав и все изменения к нему, протокол о назначении / продлении полномочий директора, приказ о назначении главного бухгалтера, ИНН, ОГРН и пр.). Если у клиентов открыт расчетный счет в Банке, то необходимо актуализировать учредительные документы, путем предоставления всех изменений и дополнений.</w:t>
            </w:r>
          </w:p>
        </w:tc>
      </w:tr>
      <w:tr w:rsidR="00065DAD" w:rsidRPr="00A154F1" w14:paraId="20273477" w14:textId="77777777" w:rsidTr="001011AE">
        <w:tc>
          <w:tcPr>
            <w:tcW w:w="9606" w:type="dxa"/>
            <w:gridSpan w:val="2"/>
            <w:shd w:val="clear" w:color="auto" w:fill="auto"/>
          </w:tcPr>
          <w:p w14:paraId="2AF18E1D" w14:textId="272D55C5" w:rsidR="00065DAD" w:rsidRPr="00A154F1" w:rsidRDefault="00065DAD" w:rsidP="001011AE"/>
          <w:p w14:paraId="0FE5B485"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 xml:space="preserve">Справки/письма от имени Заемщика должны быть подписаны уполномоченным лицом Заемщика, то есть лицом, действующим от имени Заемщика на основании учредительных документов, либо лицом, имеющим право заверять копии документов на основании доверенности. </w:t>
            </w:r>
          </w:p>
          <w:p w14:paraId="7A4B1ED1"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Документы (за исключением случаев, когда форма документа указана по тексту настоящего Перечня как «оригинал» или «нотариально заверенная копия») предоставляются:</w:t>
            </w:r>
          </w:p>
          <w:p w14:paraId="2EEA2339"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 xml:space="preserve">- в виде копий, заверенных уполномоченным лицом Заемщика, то есть лицом, действующим от имени Заемщика на основании учредительных документов, либо лицом, имеющим право заверять копии документов на основании доверенности, либо </w:t>
            </w:r>
          </w:p>
          <w:p w14:paraId="67561FBD" w14:textId="77777777" w:rsidR="00065DAD" w:rsidRPr="002469E6" w:rsidRDefault="00065DAD" w:rsidP="001011AE">
            <w:pPr>
              <w:tabs>
                <w:tab w:val="left" w:pos="2340"/>
              </w:tabs>
              <w:suppressAutoHyphens w:val="0"/>
              <w:autoSpaceDE w:val="0"/>
              <w:autoSpaceDN w:val="0"/>
              <w:adjustRightInd w:val="0"/>
              <w:ind w:firstLine="426"/>
              <w:jc w:val="both"/>
              <w:rPr>
                <w:sz w:val="18"/>
                <w:szCs w:val="18"/>
                <w:lang w:eastAsia="ar-SA"/>
              </w:rPr>
            </w:pPr>
            <w:r w:rsidRPr="002469E6">
              <w:rPr>
                <w:rFonts w:eastAsia="Times New Roman"/>
                <w:color w:val="000000" w:themeColor="text1"/>
                <w:kern w:val="0"/>
                <w:sz w:val="18"/>
                <w:szCs w:val="18"/>
              </w:rPr>
              <w:t xml:space="preserve">- в </w:t>
            </w:r>
            <w:r w:rsidRPr="002469E6">
              <w:rPr>
                <w:sz w:val="18"/>
                <w:szCs w:val="18"/>
              </w:rPr>
              <w:t xml:space="preserve">электронном виде </w:t>
            </w:r>
            <w:r w:rsidRPr="002469E6">
              <w:rPr>
                <w:color w:val="000000" w:themeColor="text1"/>
                <w:sz w:val="18"/>
                <w:szCs w:val="18"/>
              </w:rPr>
              <w:t>с использованием ЭДО.</w:t>
            </w:r>
            <w:r w:rsidRPr="002469E6">
              <w:rPr>
                <w:rFonts w:eastAsia="Times New Roman"/>
                <w:color w:val="000000" w:themeColor="text1"/>
                <w:kern w:val="0"/>
                <w:sz w:val="18"/>
                <w:szCs w:val="18"/>
              </w:rPr>
              <w:t xml:space="preserve"> </w:t>
            </w:r>
          </w:p>
          <w:p w14:paraId="6E0C9449"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p>
          <w:p w14:paraId="73A1B3AC"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В случае предоставления копий документов, заверительная надпись должна содержать фразу «копия верна», наименование должности и подпись уполномоченного лица, расшифровка подписи (Ф.И.О. уполномоченного лица), дату удостоверения копии, печать</w:t>
            </w:r>
            <w:r w:rsidRPr="002469E6">
              <w:rPr>
                <w:rFonts w:eastAsia="Times New Roman"/>
                <w:b/>
                <w:color w:val="000000" w:themeColor="text1"/>
                <w:kern w:val="0"/>
                <w:sz w:val="18"/>
                <w:szCs w:val="18"/>
              </w:rPr>
              <w:t xml:space="preserve"> </w:t>
            </w:r>
            <w:r w:rsidRPr="002469E6">
              <w:rPr>
                <w:rFonts w:eastAsia="Times New Roman"/>
                <w:color w:val="000000" w:themeColor="text1"/>
                <w:kern w:val="0"/>
                <w:sz w:val="18"/>
                <w:szCs w:val="18"/>
              </w:rPr>
              <w:t xml:space="preserve">организации. </w:t>
            </w:r>
          </w:p>
          <w:p w14:paraId="1D76B0C4"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Возможен сшив копий документов с заверением в месте сшива.</w:t>
            </w:r>
          </w:p>
          <w:p w14:paraId="6D681C9A" w14:textId="77777777" w:rsidR="00065DAD" w:rsidRPr="002469E6" w:rsidRDefault="00065DAD" w:rsidP="001011AE">
            <w:pPr>
              <w:widowControl/>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На принятой от Заёмщика изготовленной им копии документа должностное лицо Банка или иное уполномоченное банком лицо, являющееся сотрудником Банка, проставляет отметку "сверено с оригиналом",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14:paraId="4E1E3223" w14:textId="77777777" w:rsidR="00065DAD" w:rsidRPr="002469E6" w:rsidRDefault="00065DAD" w:rsidP="001011AE">
            <w:pPr>
              <w:tabs>
                <w:tab w:val="left" w:pos="2340"/>
              </w:tabs>
              <w:suppressAutoHyphens w:val="0"/>
              <w:autoSpaceDE w:val="0"/>
              <w:autoSpaceDN w:val="0"/>
              <w:adjustRightInd w:val="0"/>
              <w:ind w:firstLine="426"/>
              <w:jc w:val="both"/>
              <w:rPr>
                <w:rFonts w:eastAsia="Times New Roman"/>
                <w:color w:val="000000" w:themeColor="text1"/>
                <w:kern w:val="0"/>
                <w:sz w:val="18"/>
                <w:szCs w:val="18"/>
              </w:rPr>
            </w:pPr>
          </w:p>
          <w:p w14:paraId="77763BA8" w14:textId="77777777" w:rsidR="00065DAD" w:rsidRPr="002469E6" w:rsidRDefault="00065DAD" w:rsidP="001011AE">
            <w:pPr>
              <w:shd w:val="clear" w:color="auto" w:fill="FFFFFF"/>
              <w:tabs>
                <w:tab w:val="left" w:pos="2340"/>
              </w:tabs>
              <w:suppressAutoHyphens w:val="0"/>
              <w:autoSpaceDE w:val="0"/>
              <w:autoSpaceDN w:val="0"/>
              <w:adjustRightInd w:val="0"/>
              <w:ind w:firstLine="426"/>
              <w:jc w:val="both"/>
              <w:rPr>
                <w:rFonts w:eastAsia="Times New Roman"/>
                <w:color w:val="000000" w:themeColor="text1"/>
                <w:kern w:val="0"/>
                <w:sz w:val="18"/>
                <w:szCs w:val="18"/>
              </w:rPr>
            </w:pPr>
            <w:r w:rsidRPr="002469E6">
              <w:rPr>
                <w:rFonts w:eastAsia="Times New Roman"/>
                <w:color w:val="000000" w:themeColor="text1"/>
                <w:kern w:val="0"/>
                <w:sz w:val="18"/>
                <w:szCs w:val="18"/>
              </w:rPr>
              <w:t>В Банк должен быть предоставлен для обозрения подлинник любого документа, представленного в копии.</w:t>
            </w:r>
          </w:p>
          <w:p w14:paraId="0DDB9F29" w14:textId="77777777" w:rsidR="00065DAD" w:rsidRPr="00A154F1" w:rsidRDefault="00065DAD" w:rsidP="001011AE"/>
          <w:p w14:paraId="3D759693" w14:textId="77777777" w:rsidR="00065DAD" w:rsidRPr="00A154F1" w:rsidRDefault="00065DAD" w:rsidP="001011AE"/>
          <w:p w14:paraId="631E6575" w14:textId="77777777" w:rsidR="00065DAD" w:rsidRPr="00A154F1" w:rsidRDefault="00065DAD" w:rsidP="001011AE"/>
        </w:tc>
      </w:tr>
    </w:tbl>
    <w:p w14:paraId="1B146F7B" w14:textId="77777777" w:rsidR="00697FF5" w:rsidRDefault="00697FF5"/>
    <w:sectPr w:rsidR="0069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DA7A30"/>
    <w:multiLevelType w:val="singleLevel"/>
    <w:tmpl w:val="426E014E"/>
    <w:lvl w:ilvl="0">
      <w:start w:val="2"/>
      <w:numFmt w:val="bullet"/>
      <w:lvlText w:val="-"/>
      <w:lvlJc w:val="left"/>
      <w:pPr>
        <w:ind w:left="720" w:hanging="360"/>
      </w:pPr>
      <w:rPr>
        <w:rFonts w:hint="default"/>
        <w:b w:val="0"/>
        <w:i w:val="0"/>
      </w:rPr>
    </w:lvl>
  </w:abstractNum>
  <w:abstractNum w:abstractNumId="2" w15:restartNumberingAfterBreak="0">
    <w:nsid w:val="22196350"/>
    <w:multiLevelType w:val="hybridMultilevel"/>
    <w:tmpl w:val="B9C89FC4"/>
    <w:lvl w:ilvl="0" w:tplc="426E014E">
      <w:start w:val="2"/>
      <w:numFmt w:val="bullet"/>
      <w:lvlText w:val="-"/>
      <w:lvlJc w:val="left"/>
      <w:pPr>
        <w:ind w:left="720" w:hanging="360"/>
      </w:pPr>
      <w:rPr>
        <w:rFont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E41DF0"/>
    <w:multiLevelType w:val="singleLevel"/>
    <w:tmpl w:val="426E014E"/>
    <w:lvl w:ilvl="0">
      <w:start w:val="2"/>
      <w:numFmt w:val="bullet"/>
      <w:lvlText w:val="-"/>
      <w:lvlJc w:val="left"/>
      <w:pPr>
        <w:ind w:left="720" w:hanging="360"/>
      </w:pPr>
      <w:rPr>
        <w:rFonts w:hint="default"/>
        <w:b w:val="0"/>
        <w:i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AD"/>
    <w:rsid w:val="00065DAD"/>
    <w:rsid w:val="002469E6"/>
    <w:rsid w:val="004A5067"/>
    <w:rsid w:val="0069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C2B"/>
  <w15:chartTrackingRefBased/>
  <w15:docId w15:val="{D0A7D868-8610-4BB3-B08E-A128D439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DAD"/>
    <w:pPr>
      <w:widowControl w:val="0"/>
      <w:suppressAutoHyphens/>
      <w:spacing w:after="0" w:line="240" w:lineRule="auto"/>
    </w:pPr>
    <w:rPr>
      <w:rFonts w:ascii="Times New Roman" w:eastAsia="Andale Sans UI" w:hAnsi="Times New Roman" w:cs="Times New Roman"/>
      <w:kern w:val="1"/>
      <w:sz w:val="24"/>
      <w:szCs w:val="24"/>
      <w:lang w:eastAsia="ru-RU"/>
    </w:rPr>
  </w:style>
  <w:style w:type="paragraph" w:styleId="2">
    <w:name w:val="heading 2"/>
    <w:basedOn w:val="a"/>
    <w:next w:val="a"/>
    <w:link w:val="20"/>
    <w:qFormat/>
    <w:rsid w:val="00065DAD"/>
    <w:pPr>
      <w:keepNext/>
      <w:numPr>
        <w:ilvl w:val="1"/>
        <w:numId w:val="1"/>
      </w:numPr>
      <w:outlineLvl w:val="1"/>
    </w:pPr>
    <w:rPr>
      <w:b/>
      <w:bCs/>
    </w:rPr>
  </w:style>
  <w:style w:type="paragraph" w:styleId="3">
    <w:name w:val="heading 3"/>
    <w:basedOn w:val="a"/>
    <w:next w:val="a"/>
    <w:link w:val="30"/>
    <w:qFormat/>
    <w:rsid w:val="00065DAD"/>
    <w:pPr>
      <w:keepNext/>
      <w:numPr>
        <w:ilvl w:val="2"/>
        <w:numId w:val="1"/>
      </w:numPr>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5DAD"/>
    <w:rPr>
      <w:rFonts w:ascii="Times New Roman" w:eastAsia="Andale Sans UI" w:hAnsi="Times New Roman" w:cs="Times New Roman"/>
      <w:b/>
      <w:bCs/>
      <w:kern w:val="1"/>
      <w:sz w:val="24"/>
      <w:szCs w:val="24"/>
      <w:lang w:eastAsia="ru-RU"/>
    </w:rPr>
  </w:style>
  <w:style w:type="character" w:customStyle="1" w:styleId="30">
    <w:name w:val="Заголовок 3 Знак"/>
    <w:basedOn w:val="a0"/>
    <w:link w:val="3"/>
    <w:rsid w:val="00065DAD"/>
    <w:rPr>
      <w:rFonts w:ascii="Times New Roman" w:eastAsia="Andale Sans UI" w:hAnsi="Times New Roman" w:cs="Times New Roman"/>
      <w:b/>
      <w:kern w:val="1"/>
      <w:sz w:val="28"/>
      <w:szCs w:val="24"/>
      <w:lang w:eastAsia="ru-RU"/>
    </w:rPr>
  </w:style>
  <w:style w:type="character" w:styleId="a3">
    <w:name w:val="annotation reference"/>
    <w:rsid w:val="00065DAD"/>
    <w:rPr>
      <w:sz w:val="16"/>
      <w:szCs w:val="16"/>
    </w:rPr>
  </w:style>
  <w:style w:type="paragraph" w:styleId="a4">
    <w:name w:val="annotation text"/>
    <w:basedOn w:val="a"/>
    <w:link w:val="a5"/>
    <w:rsid w:val="00065DAD"/>
    <w:rPr>
      <w:sz w:val="20"/>
      <w:szCs w:val="20"/>
    </w:rPr>
  </w:style>
  <w:style w:type="character" w:customStyle="1" w:styleId="a5">
    <w:name w:val="Текст примечания Знак"/>
    <w:basedOn w:val="a0"/>
    <w:link w:val="a4"/>
    <w:rsid w:val="00065DAD"/>
    <w:rPr>
      <w:rFonts w:ascii="Times New Roman" w:eastAsia="Andale Sans UI" w:hAnsi="Times New Roman" w:cs="Times New Roman"/>
      <w:kern w:val="1"/>
      <w:sz w:val="20"/>
      <w:szCs w:val="20"/>
      <w:lang w:eastAsia="ru-RU"/>
    </w:rPr>
  </w:style>
  <w:style w:type="paragraph" w:styleId="a6">
    <w:name w:val="List Paragraph"/>
    <w:basedOn w:val="a"/>
    <w:uiPriority w:val="34"/>
    <w:qFormat/>
    <w:rsid w:val="00065DAD"/>
    <w:pPr>
      <w:widowControl/>
      <w:suppressAutoHyphens w:val="0"/>
      <w:ind w:left="720" w:firstLine="510"/>
      <w:contextualSpacing/>
      <w:jc w:val="both"/>
    </w:pPr>
    <w:rPr>
      <w:rFonts w:eastAsia="Times New Roman"/>
      <w:kern w:val="0"/>
    </w:rPr>
  </w:style>
  <w:style w:type="paragraph" w:styleId="a7">
    <w:name w:val="Balloon Text"/>
    <w:basedOn w:val="a"/>
    <w:link w:val="a8"/>
    <w:uiPriority w:val="99"/>
    <w:semiHidden/>
    <w:unhideWhenUsed/>
    <w:rsid w:val="00065DAD"/>
    <w:rPr>
      <w:rFonts w:ascii="Segoe UI" w:hAnsi="Segoe UI" w:cs="Segoe UI"/>
      <w:sz w:val="18"/>
      <w:szCs w:val="18"/>
    </w:rPr>
  </w:style>
  <w:style w:type="character" w:customStyle="1" w:styleId="a8">
    <w:name w:val="Текст выноски Знак"/>
    <w:basedOn w:val="a0"/>
    <w:link w:val="a7"/>
    <w:uiPriority w:val="99"/>
    <w:semiHidden/>
    <w:rsid w:val="00065DAD"/>
    <w:rPr>
      <w:rFonts w:ascii="Segoe UI" w:eastAsia="Andale Sans UI" w:hAnsi="Segoe UI" w:cs="Segoe UI"/>
      <w:ker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Анна Андреевна</dc:creator>
  <cp:keywords/>
  <dc:description/>
  <cp:lastModifiedBy>Крючкова Анна Андреевна</cp:lastModifiedBy>
  <cp:revision>2</cp:revision>
  <dcterms:created xsi:type="dcterms:W3CDTF">2024-01-24T07:57:00Z</dcterms:created>
  <dcterms:modified xsi:type="dcterms:W3CDTF">2024-01-24T07:57:00Z</dcterms:modified>
</cp:coreProperties>
</file>