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10" w:rsidRPr="00003610" w:rsidRDefault="00003610" w:rsidP="00003610">
      <w:pPr>
        <w:autoSpaceDE w:val="0"/>
        <w:spacing w:after="0" w:line="240" w:lineRule="auto"/>
        <w:jc w:val="center"/>
        <w:rPr>
          <w:rFonts w:ascii="Times New Roman" w:eastAsia="Times New Roman" w:hAnsi="Times New Roman" w:cs="Times New Roman"/>
          <w:b/>
          <w:color w:val="000000"/>
          <w:sz w:val="24"/>
          <w:szCs w:val="24"/>
          <w:lang w:eastAsia="ru-RU"/>
        </w:rPr>
      </w:pPr>
      <w:r w:rsidRPr="00003610">
        <w:rPr>
          <w:rFonts w:ascii="Times New Roman" w:eastAsia="Times New Roman" w:hAnsi="Times New Roman" w:cs="Times New Roman"/>
          <w:b/>
          <w:color w:val="000000"/>
          <w:sz w:val="24"/>
          <w:szCs w:val="24"/>
          <w:lang w:eastAsia="ru-RU"/>
        </w:rPr>
        <w:t xml:space="preserve">ПЕРЕЧЕНЬ </w:t>
      </w:r>
      <w:r w:rsidR="00A13CC3">
        <w:rPr>
          <w:rFonts w:ascii="Times New Roman" w:eastAsia="Times New Roman" w:hAnsi="Times New Roman" w:cs="Times New Roman"/>
          <w:b/>
          <w:color w:val="000000"/>
          <w:sz w:val="24"/>
          <w:szCs w:val="24"/>
          <w:lang w:eastAsia="ru-RU"/>
        </w:rPr>
        <w:t>БУХГАЛТЕР</w:t>
      </w:r>
      <w:bookmarkStart w:id="0" w:name="_GoBack"/>
      <w:bookmarkEnd w:id="0"/>
      <w:r w:rsidR="00A13CC3">
        <w:rPr>
          <w:rFonts w:ascii="Times New Roman" w:eastAsia="Times New Roman" w:hAnsi="Times New Roman" w:cs="Times New Roman"/>
          <w:b/>
          <w:color w:val="000000"/>
          <w:sz w:val="24"/>
          <w:szCs w:val="24"/>
          <w:lang w:eastAsia="ru-RU"/>
        </w:rPr>
        <w:t xml:space="preserve">СКИХ (ФИНАНСОВЫХ) </w:t>
      </w:r>
      <w:r w:rsidRPr="00003610">
        <w:rPr>
          <w:rFonts w:ascii="Times New Roman" w:eastAsia="Times New Roman" w:hAnsi="Times New Roman" w:cs="Times New Roman"/>
          <w:b/>
          <w:color w:val="000000"/>
          <w:sz w:val="24"/>
          <w:szCs w:val="24"/>
          <w:lang w:eastAsia="ru-RU"/>
        </w:rPr>
        <w:t xml:space="preserve">ДОКУМЕНТОВ, НЕОБХОДИМЫХ ДЛЯ РАССМОТРЕНИЯ ЗАЯВКИ НА ПОЛУЧЕНИЕ КРЕДИТА </w:t>
      </w:r>
    </w:p>
    <w:p w:rsidR="00003610" w:rsidRP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xml:space="preserve">1. Анкета-Заявка на получение кредита. </w:t>
      </w:r>
    </w:p>
    <w:p w:rsidR="00003610" w:rsidRP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xml:space="preserve">2. Копии лицензий (заверенные клиентом), подтверждающих право заниматься отдельными видами деятельности. </w:t>
      </w:r>
    </w:p>
    <w:p w:rsidR="00003610" w:rsidRPr="00003610" w:rsidRDefault="00003610" w:rsidP="00003610">
      <w:pPr>
        <w:widowControl w:val="0"/>
        <w:suppressAutoHyphens/>
        <w:autoSpaceDE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3. Справка о среднемесячном ФОТ, среднесписочной численности сотрудников (с учетом всех работников, в том числе работающих по совместительству, договорам подряда и другим договорам гражданско-правов</w:t>
      </w:r>
      <w:r w:rsidR="00A676B4">
        <w:rPr>
          <w:rFonts w:ascii="Times New Roman" w:eastAsia="Times New Roman" w:hAnsi="Times New Roman" w:cs="Times New Roman"/>
          <w:color w:val="000000"/>
          <w:sz w:val="24"/>
          <w:szCs w:val="24"/>
          <w:lang w:eastAsia="ru-RU"/>
        </w:rPr>
        <w:t>ого характера</w:t>
      </w:r>
      <w:r w:rsidRPr="00003610">
        <w:rPr>
          <w:rFonts w:ascii="Times New Roman" w:eastAsia="Times New Roman" w:hAnsi="Times New Roman" w:cs="Times New Roman"/>
          <w:color w:val="000000"/>
          <w:sz w:val="24"/>
          <w:szCs w:val="24"/>
          <w:lang w:eastAsia="ru-RU"/>
        </w:rPr>
        <w:t>.</w:t>
      </w:r>
    </w:p>
    <w:p w:rsidR="00003610" w:rsidRPr="00003610" w:rsidRDefault="00003610" w:rsidP="00003610">
      <w:pPr>
        <w:widowControl w:val="0"/>
        <w:suppressAutoHyphens/>
        <w:autoSpaceDE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4. Подробная характеристика бизнеса.</w:t>
      </w:r>
    </w:p>
    <w:p w:rsidR="00003610" w:rsidRPr="00003610" w:rsidRDefault="00003610" w:rsidP="00003610">
      <w:pPr>
        <w:widowControl w:val="0"/>
        <w:suppressAutoHyphens/>
        <w:autoSpaceDE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xml:space="preserve">5. Информация по действующим контрактам/договорам с приложением копий договоров. </w:t>
      </w:r>
    </w:p>
    <w:p w:rsidR="00003610" w:rsidRPr="00003610" w:rsidRDefault="00003610" w:rsidP="00003610">
      <w:pPr>
        <w:widowControl w:val="0"/>
        <w:suppressAutoHyphens/>
        <w:autoSpaceDE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6. План движения денежных потоков на предполагаемый период кредитования.</w:t>
      </w:r>
    </w:p>
    <w:p w:rsidR="00003610" w:rsidRPr="00003610" w:rsidRDefault="00003610" w:rsidP="00003610">
      <w:pPr>
        <w:widowControl w:val="0"/>
        <w:suppressAutoHyphens/>
        <w:autoSpaceDE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xml:space="preserve">7. </w:t>
      </w:r>
      <w:r w:rsidRPr="00003610">
        <w:rPr>
          <w:rFonts w:ascii="Times New Roman" w:eastAsia="Times New Roman" w:hAnsi="Times New Roman" w:cs="Times New Roman"/>
          <w:color w:val="000000"/>
          <w:sz w:val="24"/>
          <w:szCs w:val="24"/>
        </w:rPr>
        <w:t>Технико-экономическое обоснование кредита (общие сведения о проекте с учётом специфики хозяйственной деятельности), суммы требующихся средств.</w:t>
      </w:r>
    </w:p>
    <w:p w:rsidR="00003610" w:rsidRPr="00003610" w:rsidRDefault="00003610" w:rsidP="00003610">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8. Налоговые декларации в соответствии с выбранной системой налогообложения за последние 5 отчетных</w:t>
      </w:r>
      <w:r w:rsidR="00973531">
        <w:rPr>
          <w:rFonts w:ascii="Times New Roman" w:eastAsia="Times New Roman" w:hAnsi="Times New Roman" w:cs="Times New Roman"/>
          <w:color w:val="000000"/>
          <w:sz w:val="24"/>
          <w:szCs w:val="24"/>
          <w:lang w:eastAsia="ru-RU"/>
        </w:rPr>
        <w:t xml:space="preserve"> периодов</w:t>
      </w:r>
      <w:r w:rsidRPr="00003610">
        <w:rPr>
          <w:rFonts w:ascii="Times New Roman" w:eastAsia="Times New Roman" w:hAnsi="Times New Roman" w:cs="Times New Roman"/>
          <w:color w:val="000000"/>
          <w:sz w:val="24"/>
          <w:szCs w:val="24"/>
          <w:lang w:eastAsia="ru-RU"/>
        </w:rPr>
        <w:t>.</w:t>
      </w:r>
    </w:p>
    <w:p w:rsidR="00003610" w:rsidRPr="00003610" w:rsidRDefault="00003610" w:rsidP="00003610">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9. Справка о лимите кассы при наличии расчетов через кассу предприятия.</w:t>
      </w:r>
    </w:p>
    <w:p w:rsidR="00003610" w:rsidRPr="00003610" w:rsidRDefault="00003610" w:rsidP="00003610">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003610">
        <w:rPr>
          <w:rFonts w:ascii="Times New Roman" w:eastAsia="Times New Roman" w:hAnsi="Times New Roman" w:cs="Times New Roman"/>
          <w:color w:val="000000"/>
          <w:sz w:val="24"/>
          <w:szCs w:val="24"/>
          <w:lang w:eastAsia="ru-RU"/>
        </w:rPr>
        <w:t xml:space="preserve">10. </w:t>
      </w:r>
      <w:r w:rsidRPr="00003610">
        <w:rPr>
          <w:rFonts w:ascii="Times New Roman" w:eastAsia="Times New Roman" w:hAnsi="Times New Roman" w:cs="Times New Roman"/>
          <w:color w:val="000000"/>
          <w:sz w:val="24"/>
          <w:szCs w:val="24"/>
          <w:lang w:eastAsia="ar-SA"/>
        </w:rPr>
        <w:t xml:space="preserve">Справка с целевым назначением кредита, с приложение договоров на оплату которых предоставляются кредитные средства. </w:t>
      </w:r>
    </w:p>
    <w:p w:rsidR="00003610" w:rsidRPr="00003610" w:rsidRDefault="00003610" w:rsidP="00003610">
      <w:pPr>
        <w:tabs>
          <w:tab w:val="left" w:pos="990"/>
        </w:tabs>
        <w:autoSpaceDE w:val="0"/>
        <w:spacing w:after="0" w:line="240" w:lineRule="auto"/>
        <w:ind w:firstLine="567"/>
        <w:jc w:val="both"/>
        <w:rPr>
          <w:rFonts w:ascii="Times New Roman" w:eastAsia="Times New Roman" w:hAnsi="Times New Roman" w:cs="Times New Roman"/>
          <w:color w:val="000000"/>
          <w:sz w:val="24"/>
          <w:szCs w:val="24"/>
          <w:lang w:eastAsia="ar-SA"/>
        </w:rPr>
      </w:pPr>
      <w:r w:rsidRPr="00003610">
        <w:rPr>
          <w:rFonts w:ascii="Times New Roman" w:eastAsia="MS Mincho" w:hAnsi="Times New Roman" w:cs="Times New Roman"/>
          <w:color w:val="000000"/>
          <w:sz w:val="24"/>
          <w:szCs w:val="24"/>
        </w:rPr>
        <w:t xml:space="preserve">11.Перечень собственных и арендуемых основных средств. Договора аренды (свидетельства на право собственности) офисных помещений, договоры аренды транспортных средств, техники с </w:t>
      </w:r>
      <w:r w:rsidRPr="00003610">
        <w:rPr>
          <w:rFonts w:ascii="Times New Roman" w:eastAsia="Times New Roman" w:hAnsi="Times New Roman" w:cs="Times New Roman"/>
          <w:color w:val="000000"/>
          <w:sz w:val="24"/>
          <w:szCs w:val="24"/>
          <w:lang w:eastAsia="ar-SA"/>
        </w:rPr>
        <w:t>приложением документов, подтверждающих оплату аренды.</w:t>
      </w:r>
    </w:p>
    <w:p w:rsidR="00003610" w:rsidRPr="00003610" w:rsidRDefault="00003610" w:rsidP="00003610">
      <w:pPr>
        <w:widowControl w:val="0"/>
        <w:suppressAutoHyphens/>
        <w:autoSpaceDE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12. Справка о внебалансовых обязательствах: о наличии/отсутствии лизинговых и факторинговых обязательств, действующих банковских гарантий, предоставленных поручительств за третьих лиц.</w:t>
      </w:r>
    </w:p>
    <w:p w:rsid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13. Справка о наличии/отсутствии арестов и иных обременений на имущество, принадлежащее клиенту, по положению на текущую дату.</w:t>
      </w:r>
    </w:p>
    <w:p w:rsidR="00A676B4" w:rsidRPr="00003610" w:rsidRDefault="00A676B4"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p>
    <w:p w:rsidR="00003610" w:rsidRPr="00003610" w:rsidRDefault="00003610" w:rsidP="00003610">
      <w:pPr>
        <w:autoSpaceDE w:val="0"/>
        <w:spacing w:after="0" w:line="240" w:lineRule="auto"/>
        <w:ind w:firstLine="567"/>
        <w:jc w:val="both"/>
        <w:rPr>
          <w:rFonts w:ascii="Times New Roman" w:eastAsia="Times New Roman" w:hAnsi="Times New Roman" w:cs="Times New Roman"/>
          <w:b/>
          <w:color w:val="000000"/>
          <w:sz w:val="24"/>
          <w:szCs w:val="24"/>
          <w:lang w:eastAsia="ru-RU"/>
        </w:rPr>
      </w:pPr>
      <w:r w:rsidRPr="00003610">
        <w:rPr>
          <w:rFonts w:ascii="Times New Roman" w:eastAsia="Times New Roman" w:hAnsi="Times New Roman" w:cs="Times New Roman"/>
          <w:b/>
          <w:color w:val="000000"/>
          <w:sz w:val="24"/>
          <w:szCs w:val="24"/>
          <w:u w:val="single"/>
          <w:lang w:eastAsia="ru-RU"/>
        </w:rPr>
        <w:t>Для предприятий, находящихся на общей системе налогообложения</w:t>
      </w:r>
      <w:r w:rsidRPr="00003610">
        <w:rPr>
          <w:rFonts w:ascii="Times New Roman" w:eastAsia="Times New Roman" w:hAnsi="Times New Roman" w:cs="Times New Roman"/>
          <w:b/>
          <w:color w:val="000000"/>
          <w:sz w:val="24"/>
          <w:szCs w:val="24"/>
          <w:lang w:eastAsia="ru-RU"/>
        </w:rPr>
        <w:t>:</w:t>
      </w:r>
    </w:p>
    <w:p w:rsidR="00003610" w:rsidRP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бухгалтерский баланс, отчет о финансовых результатах на последние пять отчетных дат</w:t>
      </w:r>
      <w:r w:rsidRPr="00003610">
        <w:rPr>
          <w:rFonts w:ascii="Times New Roman" w:eastAsia="Times New Roman" w:hAnsi="Times New Roman" w:cs="Times New Roman"/>
          <w:b/>
          <w:color w:val="000000"/>
          <w:sz w:val="24"/>
          <w:szCs w:val="24"/>
          <w:lang w:eastAsia="ru-RU"/>
        </w:rPr>
        <w:t xml:space="preserve"> с отметкой ИФНС о получении отчетности либо с предоставлением электронной квитанции/извещения о приеме/получении годовой отчетности ИФНС.</w:t>
      </w:r>
    </w:p>
    <w:p w:rsidR="00003610" w:rsidRP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расшифровка на последнюю отчетную дату:</w:t>
      </w:r>
    </w:p>
    <w:p w:rsidR="00003610" w:rsidRPr="00003610" w:rsidRDefault="00003610" w:rsidP="00003610">
      <w:pPr>
        <w:widowControl w:val="0"/>
        <w:numPr>
          <w:ilvl w:val="0"/>
          <w:numId w:val="1"/>
        </w:numPr>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кредиторской и дебиторской задолженности с указанием даты ее возникновения, даты погашения и за что сложилась задолженность:</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47"/>
        <w:gridCol w:w="1701"/>
        <w:gridCol w:w="1418"/>
        <w:gridCol w:w="1701"/>
        <w:gridCol w:w="2438"/>
      </w:tblGrid>
      <w:tr w:rsidR="00003610" w:rsidRPr="00003610" w:rsidTr="00A676B4">
        <w:tc>
          <w:tcPr>
            <w:tcW w:w="1838"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Наименование Дебитора Кредитора (ИНН)</w:t>
            </w:r>
          </w:p>
        </w:tc>
        <w:tc>
          <w:tcPr>
            <w:tcW w:w="1247"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Сумма задолженности</w:t>
            </w:r>
          </w:p>
        </w:tc>
        <w:tc>
          <w:tcPr>
            <w:tcW w:w="1701"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Дата возникновения*</w:t>
            </w:r>
          </w:p>
        </w:tc>
        <w:tc>
          <w:tcPr>
            <w:tcW w:w="1418"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Дата погашения**</w:t>
            </w:r>
          </w:p>
        </w:tc>
        <w:tc>
          <w:tcPr>
            <w:tcW w:w="1701"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За что образовалась задолженность</w:t>
            </w:r>
          </w:p>
        </w:tc>
        <w:tc>
          <w:tcPr>
            <w:tcW w:w="2438" w:type="dxa"/>
          </w:tcPr>
          <w:p w:rsidR="00003610" w:rsidRPr="00003610" w:rsidRDefault="00003610" w:rsidP="00003610">
            <w:pPr>
              <w:autoSpaceDE w:val="0"/>
              <w:spacing w:after="0" w:line="240" w:lineRule="auto"/>
              <w:jc w:val="center"/>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Просроченная безнадежная к взысканию</w:t>
            </w:r>
          </w:p>
        </w:tc>
      </w:tr>
      <w:tr w:rsidR="00003610" w:rsidRPr="00003610" w:rsidTr="00A676B4">
        <w:tc>
          <w:tcPr>
            <w:tcW w:w="1838"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b/>
                <w:color w:val="000000"/>
                <w:sz w:val="24"/>
                <w:szCs w:val="24"/>
                <w:lang w:eastAsia="ru-RU"/>
              </w:rPr>
            </w:pPr>
          </w:p>
        </w:tc>
        <w:tc>
          <w:tcPr>
            <w:tcW w:w="1247"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b/>
                <w:color w:val="000000"/>
                <w:sz w:val="24"/>
                <w:szCs w:val="24"/>
                <w:lang w:eastAsia="ru-RU"/>
              </w:rPr>
            </w:pPr>
          </w:p>
        </w:tc>
        <w:tc>
          <w:tcPr>
            <w:tcW w:w="1701"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b/>
                <w:color w:val="000000"/>
                <w:sz w:val="24"/>
                <w:szCs w:val="24"/>
                <w:lang w:eastAsia="ru-RU"/>
              </w:rPr>
            </w:pPr>
          </w:p>
        </w:tc>
        <w:tc>
          <w:tcPr>
            <w:tcW w:w="1418"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b/>
                <w:color w:val="000000"/>
                <w:sz w:val="24"/>
                <w:szCs w:val="24"/>
                <w:lang w:eastAsia="ru-RU"/>
              </w:rPr>
            </w:pPr>
          </w:p>
        </w:tc>
        <w:tc>
          <w:tcPr>
            <w:tcW w:w="1701" w:type="dxa"/>
            <w:shd w:val="clear" w:color="auto" w:fill="auto"/>
          </w:tcPr>
          <w:p w:rsidR="00003610" w:rsidRPr="00003610" w:rsidRDefault="00003610" w:rsidP="00003610">
            <w:pPr>
              <w:autoSpaceDE w:val="0"/>
              <w:spacing w:after="0" w:line="240" w:lineRule="auto"/>
              <w:jc w:val="center"/>
              <w:rPr>
                <w:rFonts w:ascii="Times New Roman" w:eastAsia="Times New Roman" w:hAnsi="Times New Roman" w:cs="Times New Roman"/>
                <w:b/>
                <w:color w:val="000000"/>
                <w:sz w:val="24"/>
                <w:szCs w:val="24"/>
                <w:lang w:eastAsia="ru-RU"/>
              </w:rPr>
            </w:pPr>
          </w:p>
        </w:tc>
        <w:tc>
          <w:tcPr>
            <w:tcW w:w="2438" w:type="dxa"/>
          </w:tcPr>
          <w:p w:rsidR="00003610" w:rsidRPr="00003610" w:rsidRDefault="00003610" w:rsidP="00003610">
            <w:pPr>
              <w:autoSpaceDE w:val="0"/>
              <w:spacing w:after="0" w:line="240" w:lineRule="auto"/>
              <w:jc w:val="center"/>
              <w:rPr>
                <w:rFonts w:ascii="Times New Roman" w:eastAsia="Times New Roman" w:hAnsi="Times New Roman" w:cs="Times New Roman"/>
                <w:b/>
                <w:color w:val="000000"/>
                <w:sz w:val="24"/>
                <w:szCs w:val="24"/>
                <w:lang w:eastAsia="ru-RU"/>
              </w:rPr>
            </w:pPr>
          </w:p>
        </w:tc>
      </w:tr>
    </w:tbl>
    <w:p w:rsidR="00003610" w:rsidRP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*дату возникновения необходимо указывать по факту отгрузки либо по факту выполнения работ/услуг</w:t>
      </w:r>
    </w:p>
    <w:p w:rsidR="00003610" w:rsidRP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**дату погашения необходимо указывать в соответствии с условиями договоров</w:t>
      </w:r>
    </w:p>
    <w:p w:rsidR="00003610" w:rsidRPr="00003610" w:rsidRDefault="00003610" w:rsidP="00003610">
      <w:pPr>
        <w:widowControl w:val="0"/>
        <w:numPr>
          <w:ilvl w:val="0"/>
          <w:numId w:val="1"/>
        </w:numPr>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основных средств с указанием их балансовой и остаточной стоимости;</w:t>
      </w:r>
    </w:p>
    <w:p w:rsidR="00003610" w:rsidRPr="00003610" w:rsidRDefault="00003610" w:rsidP="00003610">
      <w:pPr>
        <w:widowControl w:val="0"/>
        <w:numPr>
          <w:ilvl w:val="0"/>
          <w:numId w:val="1"/>
        </w:numPr>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xml:space="preserve"> запасов;</w:t>
      </w:r>
    </w:p>
    <w:p w:rsidR="00003610" w:rsidRPr="00003610" w:rsidRDefault="00003610" w:rsidP="00003610">
      <w:pPr>
        <w:widowControl w:val="0"/>
        <w:numPr>
          <w:ilvl w:val="0"/>
          <w:numId w:val="1"/>
        </w:numPr>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xml:space="preserve"> краткосрочных и долгосрочных финансовых вложений, заемных средств с указанием кредитора, срока погашения, суммы по договору, процентной ставки и суммы долга по ссудам, процентам и штрафам с приложением копий кредитных договоров и договоров обеспечения (с приложениями):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567"/>
        <w:gridCol w:w="1814"/>
        <w:gridCol w:w="1276"/>
        <w:gridCol w:w="1588"/>
        <w:gridCol w:w="2268"/>
      </w:tblGrid>
      <w:tr w:rsidR="00003610" w:rsidRPr="00003610" w:rsidTr="00A676B4">
        <w:tc>
          <w:tcPr>
            <w:tcW w:w="1838" w:type="dxa"/>
            <w:shd w:val="clear" w:color="auto" w:fill="auto"/>
          </w:tcPr>
          <w:p w:rsidR="00003610" w:rsidRPr="00003610" w:rsidRDefault="00A676B4" w:rsidP="00003610">
            <w:pPr>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w:t>
            </w:r>
            <w:r w:rsidR="00003610" w:rsidRPr="00003610">
              <w:rPr>
                <w:rFonts w:ascii="Times New Roman" w:eastAsia="Times New Roman" w:hAnsi="Times New Roman" w:cs="Times New Roman"/>
                <w:color w:val="000000"/>
                <w:sz w:val="24"/>
                <w:szCs w:val="24"/>
                <w:lang w:eastAsia="ru-RU"/>
              </w:rPr>
              <w:t>ние Кредитора</w:t>
            </w:r>
          </w:p>
        </w:tc>
        <w:tc>
          <w:tcPr>
            <w:tcW w:w="992"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Сумма по договору</w:t>
            </w:r>
          </w:p>
        </w:tc>
        <w:tc>
          <w:tcPr>
            <w:tcW w:w="567"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xml:space="preserve">% </w:t>
            </w:r>
          </w:p>
        </w:tc>
        <w:tc>
          <w:tcPr>
            <w:tcW w:w="1814" w:type="dxa"/>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Остаток задолженности на текущую дату, в т.ч. основной долг, %, штрафы</w:t>
            </w:r>
          </w:p>
        </w:tc>
        <w:tc>
          <w:tcPr>
            <w:tcW w:w="1276"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Дата возникно-</w:t>
            </w:r>
          </w:p>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вения</w:t>
            </w:r>
          </w:p>
        </w:tc>
        <w:tc>
          <w:tcPr>
            <w:tcW w:w="1588"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Дата погашения</w:t>
            </w:r>
          </w:p>
        </w:tc>
        <w:tc>
          <w:tcPr>
            <w:tcW w:w="2268" w:type="dxa"/>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Просроченная безнадежная к взысканию</w:t>
            </w:r>
          </w:p>
        </w:tc>
      </w:tr>
      <w:tr w:rsidR="00003610" w:rsidRPr="00003610" w:rsidTr="00A676B4">
        <w:tc>
          <w:tcPr>
            <w:tcW w:w="1838"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992"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567"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1814" w:type="dxa"/>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1276"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1588"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2268" w:type="dxa"/>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r>
    </w:tbl>
    <w:p w:rsidR="00003610" w:rsidRDefault="00003610" w:rsidP="00003610">
      <w:pPr>
        <w:widowControl w:val="0"/>
        <w:numPr>
          <w:ilvl w:val="0"/>
          <w:numId w:val="2"/>
        </w:numPr>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ar-SA"/>
        </w:rPr>
        <w:lastRenderedPageBreak/>
        <w:t>других статей баланса с долей более 5% в общей структуре баланса.</w:t>
      </w:r>
    </w:p>
    <w:p w:rsidR="00A676B4" w:rsidRPr="00003610" w:rsidRDefault="00A676B4" w:rsidP="00A676B4">
      <w:pPr>
        <w:widowControl w:val="0"/>
        <w:suppressAutoHyphens/>
        <w:autoSpaceDE w:val="0"/>
        <w:spacing w:after="0" w:line="240" w:lineRule="auto"/>
        <w:ind w:left="1287"/>
        <w:jc w:val="both"/>
        <w:rPr>
          <w:rFonts w:ascii="Times New Roman" w:eastAsia="Times New Roman" w:hAnsi="Times New Roman" w:cs="Times New Roman"/>
          <w:color w:val="000000"/>
          <w:sz w:val="24"/>
          <w:szCs w:val="24"/>
          <w:lang w:eastAsia="ru-RU"/>
        </w:rPr>
      </w:pPr>
    </w:p>
    <w:p w:rsidR="00003610" w:rsidRPr="00003610" w:rsidRDefault="00003610" w:rsidP="00003610">
      <w:pPr>
        <w:autoSpaceDE w:val="0"/>
        <w:spacing w:after="0" w:line="240" w:lineRule="auto"/>
        <w:ind w:firstLine="567"/>
        <w:jc w:val="both"/>
        <w:rPr>
          <w:rFonts w:ascii="Times New Roman" w:eastAsia="Times New Roman" w:hAnsi="Times New Roman" w:cs="Times New Roman"/>
          <w:b/>
          <w:color w:val="000000"/>
          <w:sz w:val="24"/>
          <w:szCs w:val="24"/>
          <w:u w:val="single"/>
          <w:lang w:eastAsia="ar-SA"/>
        </w:rPr>
      </w:pPr>
      <w:r w:rsidRPr="00003610">
        <w:rPr>
          <w:rFonts w:ascii="Times New Roman" w:eastAsia="Times New Roman" w:hAnsi="Times New Roman" w:cs="Times New Roman"/>
          <w:b/>
          <w:color w:val="000000"/>
          <w:sz w:val="24"/>
          <w:szCs w:val="24"/>
          <w:u w:val="single"/>
          <w:lang w:eastAsia="ar-SA"/>
        </w:rPr>
        <w:t xml:space="preserve">Для Индивидуальных предпринимателей и предприятий, находящихся на УСН: </w:t>
      </w:r>
    </w:p>
    <w:p w:rsidR="00003610" w:rsidRPr="00003610" w:rsidRDefault="00003610" w:rsidP="00003610">
      <w:pPr>
        <w:tabs>
          <w:tab w:val="left" w:pos="990"/>
        </w:tabs>
        <w:autoSpaceDE w:val="0"/>
        <w:spacing w:after="0" w:line="240" w:lineRule="auto"/>
        <w:ind w:firstLine="567"/>
        <w:jc w:val="both"/>
        <w:rPr>
          <w:rFonts w:ascii="Times New Roman" w:eastAsia="MS Mincho" w:hAnsi="Times New Roman" w:cs="Times New Roman"/>
          <w:color w:val="000000"/>
          <w:sz w:val="24"/>
          <w:szCs w:val="24"/>
        </w:rPr>
      </w:pPr>
      <w:r w:rsidRPr="00003610">
        <w:rPr>
          <w:rFonts w:ascii="Times New Roman" w:eastAsia="MS Mincho" w:hAnsi="Times New Roman" w:cs="Times New Roman"/>
          <w:color w:val="000000"/>
          <w:sz w:val="24"/>
          <w:szCs w:val="24"/>
        </w:rPr>
        <w:t>- Книга учета доходов и расходов за текущий и ис</w:t>
      </w:r>
      <w:r w:rsidR="00A676B4">
        <w:rPr>
          <w:rFonts w:ascii="Times New Roman" w:eastAsia="MS Mincho" w:hAnsi="Times New Roman" w:cs="Times New Roman"/>
          <w:color w:val="000000"/>
          <w:sz w:val="24"/>
          <w:szCs w:val="24"/>
        </w:rPr>
        <w:t>текший финансовый год (при УСН);</w:t>
      </w:r>
    </w:p>
    <w:p w:rsidR="00003610" w:rsidRPr="00003610" w:rsidRDefault="00003610" w:rsidP="00003610">
      <w:pPr>
        <w:tabs>
          <w:tab w:val="left" w:pos="990"/>
        </w:tabs>
        <w:autoSpaceDE w:val="0"/>
        <w:spacing w:after="0" w:line="240" w:lineRule="auto"/>
        <w:ind w:firstLine="567"/>
        <w:jc w:val="both"/>
        <w:rPr>
          <w:rFonts w:ascii="Times New Roman" w:eastAsia="MS Mincho" w:hAnsi="Times New Roman" w:cs="Times New Roman"/>
          <w:color w:val="000000"/>
          <w:sz w:val="24"/>
          <w:szCs w:val="24"/>
        </w:rPr>
      </w:pPr>
      <w:r w:rsidRPr="00003610">
        <w:rPr>
          <w:rFonts w:ascii="Times New Roman" w:eastAsia="MS Mincho" w:hAnsi="Times New Roman" w:cs="Times New Roman"/>
          <w:color w:val="000000"/>
          <w:sz w:val="24"/>
          <w:szCs w:val="24"/>
        </w:rPr>
        <w:t xml:space="preserve">- Упрощенная форма баланса и отчета о финансовых результатах, на </w:t>
      </w:r>
      <w:r w:rsidRPr="00003610">
        <w:rPr>
          <w:rFonts w:ascii="Times New Roman" w:eastAsia="Times New Roman" w:hAnsi="Times New Roman" w:cs="Times New Roman"/>
          <w:color w:val="000000"/>
          <w:sz w:val="24"/>
          <w:szCs w:val="24"/>
          <w:lang w:eastAsia="ru-RU"/>
        </w:rPr>
        <w:t>последние пять отчетных дат</w:t>
      </w:r>
      <w:r w:rsidRPr="00003610">
        <w:rPr>
          <w:rFonts w:ascii="Times New Roman" w:eastAsia="MS Mincho" w:hAnsi="Times New Roman" w:cs="Times New Roman"/>
          <w:color w:val="000000"/>
          <w:sz w:val="24"/>
          <w:szCs w:val="24"/>
        </w:rPr>
        <w:t>.</w:t>
      </w:r>
    </w:p>
    <w:p w:rsidR="00003610" w:rsidRPr="00003610" w:rsidRDefault="00003610"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15. Обороты по кассе за последние 12 месяцев (</w:t>
      </w:r>
      <w:r w:rsidRPr="00003610">
        <w:rPr>
          <w:rFonts w:ascii="Times New Roman" w:eastAsia="Times New Roman" w:hAnsi="Times New Roman" w:cs="Times New Roman"/>
          <w:b/>
          <w:color w:val="000000"/>
          <w:sz w:val="24"/>
          <w:szCs w:val="24"/>
          <w:lang w:eastAsia="ru-RU"/>
        </w:rPr>
        <w:t>помесячно</w:t>
      </w:r>
      <w:r w:rsidRPr="00003610">
        <w:rPr>
          <w:rFonts w:ascii="Times New Roman" w:eastAsia="Times New Roman" w:hAnsi="Times New Roman" w:cs="Times New Roman"/>
          <w:color w:val="000000"/>
          <w:sz w:val="24"/>
          <w:szCs w:val="24"/>
          <w:lang w:eastAsia="ru-RU"/>
        </w:rPr>
        <w:t>), в том числе: сдано в банк, получено из банка.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364"/>
        <w:gridCol w:w="2388"/>
        <w:gridCol w:w="2519"/>
      </w:tblGrid>
      <w:tr w:rsidR="00003610" w:rsidRPr="00003610" w:rsidTr="0087415C">
        <w:tc>
          <w:tcPr>
            <w:tcW w:w="2510"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Месяц</w:t>
            </w:r>
          </w:p>
        </w:tc>
        <w:tc>
          <w:tcPr>
            <w:tcW w:w="2364"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Оборот по кассе за месяц</w:t>
            </w:r>
          </w:p>
        </w:tc>
        <w:tc>
          <w:tcPr>
            <w:tcW w:w="2388"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В т.ч. получено из банка</w:t>
            </w:r>
          </w:p>
        </w:tc>
        <w:tc>
          <w:tcPr>
            <w:tcW w:w="2519"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В т.ч. сдано в банк</w:t>
            </w:r>
          </w:p>
        </w:tc>
      </w:tr>
      <w:tr w:rsidR="00003610" w:rsidRPr="00003610" w:rsidTr="0087415C">
        <w:tc>
          <w:tcPr>
            <w:tcW w:w="2510"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2364"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2388"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c>
          <w:tcPr>
            <w:tcW w:w="2519" w:type="dxa"/>
            <w:shd w:val="clear" w:color="auto" w:fill="auto"/>
          </w:tcPr>
          <w:p w:rsidR="00003610" w:rsidRPr="00003610" w:rsidRDefault="00003610" w:rsidP="00003610">
            <w:pPr>
              <w:autoSpaceDE w:val="0"/>
              <w:spacing w:after="0" w:line="240" w:lineRule="auto"/>
              <w:jc w:val="both"/>
              <w:rPr>
                <w:rFonts w:ascii="Times New Roman" w:eastAsia="Times New Roman" w:hAnsi="Times New Roman" w:cs="Times New Roman"/>
                <w:color w:val="000000"/>
                <w:sz w:val="24"/>
                <w:szCs w:val="24"/>
                <w:lang w:eastAsia="ru-RU"/>
              </w:rPr>
            </w:pPr>
          </w:p>
        </w:tc>
      </w:tr>
    </w:tbl>
    <w:p w:rsidR="00A676B4" w:rsidRDefault="00A676B4" w:rsidP="00003610">
      <w:pPr>
        <w:autoSpaceDE w:val="0"/>
        <w:spacing w:after="0" w:line="240" w:lineRule="auto"/>
        <w:ind w:firstLine="567"/>
        <w:jc w:val="both"/>
        <w:rPr>
          <w:rFonts w:ascii="Times New Roman" w:eastAsia="Times New Roman" w:hAnsi="Times New Roman" w:cs="Times New Roman"/>
          <w:color w:val="000000"/>
          <w:sz w:val="24"/>
          <w:szCs w:val="24"/>
          <w:lang w:eastAsia="ru-RU"/>
        </w:rPr>
      </w:pPr>
    </w:p>
    <w:p w:rsidR="00A676B4" w:rsidRPr="00003610" w:rsidRDefault="00A676B4" w:rsidP="00A676B4">
      <w:pPr>
        <w:autoSpaceDE w:val="0"/>
        <w:spacing w:after="0" w:line="240" w:lineRule="auto"/>
        <w:ind w:firstLine="567"/>
        <w:jc w:val="both"/>
        <w:rPr>
          <w:rFonts w:ascii="Times New Roman" w:eastAsia="MS Mincho" w:hAnsi="Times New Roman" w:cs="Times New Roman"/>
          <w:b/>
          <w:color w:val="000000"/>
          <w:sz w:val="24"/>
          <w:szCs w:val="24"/>
          <w:u w:val="single"/>
        </w:rPr>
      </w:pPr>
      <w:r w:rsidRPr="00003610">
        <w:rPr>
          <w:rFonts w:ascii="Times New Roman" w:eastAsia="MS Mincho" w:hAnsi="Times New Roman" w:cs="Times New Roman"/>
          <w:b/>
          <w:color w:val="000000"/>
          <w:sz w:val="24"/>
          <w:szCs w:val="24"/>
          <w:u w:val="single"/>
        </w:rPr>
        <w:t>Для Страховых компаний</w:t>
      </w:r>
    </w:p>
    <w:p w:rsidR="00A676B4" w:rsidRPr="00003610" w:rsidRDefault="00A676B4" w:rsidP="00A676B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vanish/>
          <w:color w:val="000000"/>
          <w:sz w:val="24"/>
          <w:szCs w:val="24"/>
          <w:lang w:eastAsia="ar-SA"/>
        </w:rPr>
      </w:pPr>
    </w:p>
    <w:p w:rsidR="00A676B4" w:rsidRPr="00003610" w:rsidRDefault="00A676B4" w:rsidP="00A676B4">
      <w:pPr>
        <w:widowControl w:val="0"/>
        <w:numPr>
          <w:ilvl w:val="0"/>
          <w:numId w:val="4"/>
        </w:numPr>
        <w:suppressAutoHyphens/>
        <w:autoSpaceDE w:val="0"/>
        <w:autoSpaceDN w:val="0"/>
        <w:adjustRightInd w:val="0"/>
        <w:spacing w:after="0" w:line="240" w:lineRule="auto"/>
        <w:jc w:val="both"/>
        <w:rPr>
          <w:rFonts w:ascii="Times New Roman" w:eastAsia="Times New Roman" w:hAnsi="Times New Roman" w:cs="Times New Roman"/>
          <w:vanish/>
          <w:color w:val="000000"/>
          <w:sz w:val="24"/>
          <w:szCs w:val="24"/>
          <w:lang w:eastAsia="ar-SA"/>
        </w:rPr>
      </w:pPr>
    </w:p>
    <w:p w:rsidR="00A676B4" w:rsidRPr="00460AA8" w:rsidRDefault="00A676B4" w:rsidP="00A676B4">
      <w:pPr>
        <w:pStyle w:val="a6"/>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0AA8">
        <w:rPr>
          <w:rFonts w:ascii="Times New Roman" w:eastAsia="Times New Roman" w:hAnsi="Times New Roman" w:cs="Times New Roman"/>
          <w:sz w:val="24"/>
          <w:szCs w:val="24"/>
          <w:lang w:eastAsia="ru-RU"/>
        </w:rPr>
        <w:t>Бухгалтерская (финансовая) отчетность СК (за последние пять завершенных отчетных периодов (кварталов).</w:t>
      </w:r>
    </w:p>
    <w:p w:rsidR="00A676B4" w:rsidRPr="00460AA8" w:rsidRDefault="00A676B4" w:rsidP="00A676B4">
      <w:pPr>
        <w:pStyle w:val="a6"/>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0AA8">
        <w:rPr>
          <w:rFonts w:ascii="Times New Roman" w:eastAsia="Times New Roman" w:hAnsi="Times New Roman" w:cs="Times New Roman"/>
          <w:sz w:val="24"/>
          <w:szCs w:val="24"/>
          <w:lang w:eastAsia="ru-RU"/>
        </w:rPr>
        <w:t>При наличии рейтингов – актуальные отчеты российских рейтинговых агентств («Эксперт РА», АКРА, НКР, НРА);</w:t>
      </w:r>
    </w:p>
    <w:p w:rsidR="00A676B4" w:rsidRPr="00460AA8" w:rsidRDefault="00A676B4" w:rsidP="00A676B4">
      <w:pPr>
        <w:pStyle w:val="a6"/>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0AA8">
        <w:rPr>
          <w:rFonts w:ascii="Times New Roman" w:eastAsia="Times New Roman" w:hAnsi="Times New Roman" w:cs="Times New Roman"/>
          <w:sz w:val="24"/>
          <w:szCs w:val="24"/>
          <w:lang w:eastAsia="ru-RU"/>
        </w:rPr>
        <w:t>Заключение аудиторской компании (обязательный аудит) и пояснительная записка к годовому отчету в составе годовой бухгалтерской (финансовой) отчетности страховщика (за прошедший финансовый год);</w:t>
      </w:r>
    </w:p>
    <w:p w:rsidR="00A676B4" w:rsidRPr="00460AA8" w:rsidRDefault="00A676B4" w:rsidP="00A676B4">
      <w:pPr>
        <w:pStyle w:val="a6"/>
        <w:widowControl w:val="0"/>
        <w:numPr>
          <w:ilvl w:val="0"/>
          <w:numId w:val="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0AA8">
        <w:rPr>
          <w:rFonts w:ascii="Times New Roman" w:eastAsia="Times New Roman" w:hAnsi="Times New Roman" w:cs="Times New Roman"/>
          <w:sz w:val="24"/>
          <w:szCs w:val="24"/>
          <w:lang w:eastAsia="ru-RU"/>
        </w:rPr>
        <w:t>Отчетность (за последние пять завершенных отчетных периодов (кварталов), предоставляемая в Центральный банк Российской Федерации (регулятор страхового рынка в России) по установленным формам:</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«Бухгалтерский баланс страховой организации», форма 0420125;</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«Отчет о финансовых результатах страховой организации», форма 0420126;</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«Отчет об изменениях капитала страховой организации», форма 0420127;</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«Отчет о движении денежных средств, страховой организации», форма 0420128;</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пояснения к форме 0420125 и форме 0420126;</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«Бухгалтерский баланс общества взаимного страхования», форма 0420140;</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«Отчет о целевом использовании средств общества взаимного страхования», форма 0420141;</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«Отчет о финансовых результатах общества взаимного страхования», форма 0420142;</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«Отчет о движении денежных средств общества взаимного страхования», форма 0420144;</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пояснение к форме 0420140 и форме 0420141;</w:t>
      </w:r>
    </w:p>
    <w:p w:rsidR="00A676B4"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r w:rsidRPr="00003610">
        <w:rPr>
          <w:rFonts w:ascii="Times New Roman" w:eastAsia="Times New Roman" w:hAnsi="Times New Roman" w:cs="Times New Roman"/>
          <w:color w:val="000000"/>
          <w:sz w:val="24"/>
          <w:szCs w:val="24"/>
          <w:lang w:eastAsia="ru-RU"/>
        </w:rPr>
        <w:t>- «Отчет о платежеспособности», форма 0420156.</w:t>
      </w:r>
    </w:p>
    <w:p w:rsidR="00A676B4" w:rsidRPr="00003610" w:rsidRDefault="00A676B4" w:rsidP="00A676B4">
      <w:pPr>
        <w:autoSpaceDE w:val="0"/>
        <w:autoSpaceDN w:val="0"/>
        <w:adjustRightInd w:val="0"/>
        <w:spacing w:after="0" w:line="240" w:lineRule="auto"/>
        <w:ind w:left="709" w:firstLine="709"/>
        <w:jc w:val="both"/>
        <w:rPr>
          <w:rFonts w:ascii="Times New Roman" w:eastAsia="Times New Roman" w:hAnsi="Times New Roman" w:cs="Times New Roman"/>
          <w:color w:val="000000"/>
          <w:sz w:val="24"/>
          <w:szCs w:val="24"/>
          <w:lang w:eastAsia="ru-RU"/>
        </w:rPr>
      </w:pP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Анализ счета 50 и 51 по субконто в разрезе по банкам за последние 12 месяцев (</w:t>
      </w:r>
      <w:r w:rsidRPr="00432111">
        <w:rPr>
          <w:rFonts w:ascii="Times New Roman" w:eastAsia="Times New Roman" w:hAnsi="Times New Roman" w:cs="Times New Roman"/>
          <w:b/>
          <w:color w:val="000000"/>
          <w:sz w:val="24"/>
          <w:szCs w:val="24"/>
          <w:lang w:eastAsia="ru-RU"/>
        </w:rPr>
        <w:t>помесячно</w:t>
      </w:r>
      <w:r w:rsidRPr="00432111">
        <w:rPr>
          <w:rFonts w:ascii="Times New Roman" w:eastAsia="Times New Roman" w:hAnsi="Times New Roman" w:cs="Times New Roman"/>
          <w:color w:val="000000"/>
          <w:sz w:val="24"/>
          <w:szCs w:val="24"/>
          <w:lang w:eastAsia="ru-RU"/>
        </w:rPr>
        <w:t>).</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b/>
          <w:color w:val="000000"/>
          <w:sz w:val="24"/>
          <w:szCs w:val="24"/>
          <w:lang w:eastAsia="ru-RU"/>
        </w:rPr>
      </w:pPr>
      <w:r w:rsidRPr="00432111">
        <w:rPr>
          <w:rFonts w:ascii="Times New Roman" w:eastAsia="Times New Roman" w:hAnsi="Times New Roman" w:cs="Times New Roman"/>
          <w:color w:val="000000"/>
          <w:sz w:val="24"/>
          <w:szCs w:val="24"/>
          <w:lang w:eastAsia="ru-RU"/>
        </w:rPr>
        <w:t>Оборотно-сальдовая ведомость по счетам 01, 02, 03, 08, 10, 41, 58, 60, 62, 63, 66, 67, 68, 69, 70, 71, 76, 90, 91 за последние 12 месяцев (</w:t>
      </w:r>
      <w:r w:rsidRPr="00432111">
        <w:rPr>
          <w:rFonts w:ascii="Times New Roman" w:eastAsia="Times New Roman" w:hAnsi="Times New Roman" w:cs="Times New Roman"/>
          <w:b/>
          <w:color w:val="000000"/>
          <w:sz w:val="24"/>
          <w:szCs w:val="24"/>
          <w:lang w:eastAsia="ru-RU"/>
        </w:rPr>
        <w:t>по квартально).</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sz w:val="24"/>
          <w:szCs w:val="24"/>
          <w:lang w:eastAsia="ru-RU"/>
        </w:rPr>
        <w:t>Карточка счета 51 или выписки по открытым счетам, в сторонних Банках, за анализируемый квартал (последний отчетный квартал).</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Справка ИФНС об открытых счетах</w:t>
      </w:r>
      <w:r w:rsidRPr="00432111">
        <w:rPr>
          <w:rFonts w:ascii="Times New Roman" w:eastAsia="Times New Roman" w:hAnsi="Times New Roman" w:cs="Times New Roman"/>
          <w:b/>
          <w:color w:val="000000"/>
          <w:sz w:val="24"/>
          <w:szCs w:val="24"/>
          <w:lang w:eastAsia="ru-RU"/>
        </w:rPr>
        <w:t xml:space="preserve"> </w:t>
      </w:r>
      <w:r w:rsidRPr="00432111">
        <w:rPr>
          <w:rFonts w:ascii="Times New Roman" w:eastAsia="Times New Roman" w:hAnsi="Times New Roman" w:cs="Times New Roman"/>
          <w:color w:val="000000"/>
          <w:sz w:val="24"/>
          <w:szCs w:val="24"/>
          <w:lang w:eastAsia="ru-RU"/>
        </w:rPr>
        <w:t>со сроком давности не более 30 календарных дней.</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Справка ФНС об отсутствии задолженности по уплате налогов</w:t>
      </w:r>
      <w:r w:rsidRPr="00432111">
        <w:rPr>
          <w:rFonts w:ascii="Times New Roman" w:eastAsia="Times New Roman" w:hAnsi="Times New Roman" w:cs="Times New Roman"/>
          <w:b/>
          <w:color w:val="000000"/>
          <w:sz w:val="24"/>
          <w:szCs w:val="24"/>
          <w:lang w:eastAsia="ru-RU"/>
        </w:rPr>
        <w:t xml:space="preserve"> </w:t>
      </w:r>
      <w:r w:rsidRPr="00432111">
        <w:rPr>
          <w:rFonts w:ascii="Times New Roman" w:eastAsia="Times New Roman" w:hAnsi="Times New Roman" w:cs="Times New Roman"/>
          <w:color w:val="000000"/>
          <w:sz w:val="24"/>
          <w:szCs w:val="24"/>
          <w:lang w:eastAsia="ru-RU"/>
        </w:rPr>
        <w:t>со сроком давности не более 30 календарных дней.</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Справки из обслуживающих банков со сроком давности не более 30 календарных дней:</w:t>
      </w:r>
    </w:p>
    <w:p w:rsidR="00003610" w:rsidRPr="00432111" w:rsidRDefault="00003610" w:rsidP="00432111">
      <w:pPr>
        <w:pStyle w:val="a6"/>
        <w:autoSpaceDE w:val="0"/>
        <w:spacing w:after="0" w:line="240" w:lineRule="auto"/>
        <w:ind w:left="709"/>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 об оборотах по расчетным счетам;</w:t>
      </w:r>
    </w:p>
    <w:p w:rsidR="00003610" w:rsidRPr="00432111" w:rsidRDefault="00003610" w:rsidP="00432111">
      <w:pPr>
        <w:pStyle w:val="a6"/>
        <w:autoSpaceDE w:val="0"/>
        <w:spacing w:after="0" w:line="240" w:lineRule="auto"/>
        <w:ind w:left="709"/>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 о наличии/отсутствии и положения картотек</w:t>
      </w:r>
      <w:r w:rsidRPr="00432111">
        <w:rPr>
          <w:rFonts w:ascii="Times New Roman" w:eastAsia="Times New Roman" w:hAnsi="Times New Roman" w:cs="Times New Roman"/>
          <w:color w:val="000000"/>
          <w:sz w:val="24"/>
          <w:szCs w:val="24"/>
        </w:rPr>
        <w:t xml:space="preserve"> неоплаченных расчетных документов</w:t>
      </w:r>
      <w:r w:rsidRPr="00432111">
        <w:rPr>
          <w:rFonts w:ascii="Times New Roman" w:eastAsia="Times New Roman" w:hAnsi="Times New Roman" w:cs="Times New Roman"/>
          <w:color w:val="000000"/>
          <w:sz w:val="24"/>
          <w:szCs w:val="24"/>
          <w:lang w:eastAsia="ru-RU"/>
        </w:rPr>
        <w:t>, ссудной задолженности, в том числе просроченной и о качестве обслуживания долга.</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Копии договоров с основными поставщиками и покупателями.</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Штатное расписание (действующее).</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Копия учетной политики в действующей редакции, приказ об утверждении учетной политики.</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 xml:space="preserve">Согласие на получение информации из бюро кредитных историй. </w:t>
      </w:r>
    </w:p>
    <w:p w:rsidR="00003610" w:rsidRPr="00432111" w:rsidRDefault="00003610" w:rsidP="00432111">
      <w:pPr>
        <w:pStyle w:val="a6"/>
        <w:numPr>
          <w:ilvl w:val="0"/>
          <w:numId w:val="9"/>
        </w:numPr>
        <w:tabs>
          <w:tab w:val="left" w:pos="990"/>
        </w:tabs>
        <w:autoSpaceDE w:val="0"/>
        <w:spacing w:after="0" w:line="240" w:lineRule="auto"/>
        <w:ind w:left="709" w:firstLine="0"/>
        <w:jc w:val="both"/>
        <w:rPr>
          <w:rFonts w:ascii="Times New Roman" w:eastAsia="MS Mincho" w:hAnsi="Times New Roman" w:cs="Times New Roman"/>
          <w:color w:val="000000"/>
          <w:sz w:val="24"/>
          <w:szCs w:val="24"/>
        </w:rPr>
      </w:pPr>
      <w:r w:rsidRPr="00432111">
        <w:rPr>
          <w:rFonts w:ascii="Times New Roman" w:eastAsia="MS Mincho" w:hAnsi="Times New Roman" w:cs="Times New Roman"/>
          <w:color w:val="000000"/>
          <w:sz w:val="24"/>
          <w:szCs w:val="24"/>
        </w:rPr>
        <w:lastRenderedPageBreak/>
        <w:t xml:space="preserve">Согласие на обработку персональных данных и согласие налоговому органу о разглашении сведений (по форме банка). </w:t>
      </w:r>
    </w:p>
    <w:p w:rsidR="00003610" w:rsidRPr="00432111" w:rsidRDefault="00003610" w:rsidP="00432111">
      <w:pPr>
        <w:pStyle w:val="a6"/>
        <w:numPr>
          <w:ilvl w:val="0"/>
          <w:numId w:val="9"/>
        </w:numPr>
        <w:tabs>
          <w:tab w:val="left" w:pos="990"/>
        </w:tabs>
        <w:autoSpaceDE w:val="0"/>
        <w:spacing w:after="0" w:line="240" w:lineRule="auto"/>
        <w:ind w:left="709" w:firstLine="0"/>
        <w:jc w:val="both"/>
        <w:rPr>
          <w:rFonts w:ascii="Times New Roman" w:eastAsia="MS Mincho" w:hAnsi="Times New Roman" w:cs="Times New Roman"/>
          <w:color w:val="000000"/>
          <w:sz w:val="24"/>
          <w:szCs w:val="24"/>
        </w:rPr>
      </w:pPr>
      <w:r w:rsidRPr="00432111">
        <w:rPr>
          <w:rFonts w:ascii="Times New Roman" w:eastAsia="MS Mincho" w:hAnsi="Times New Roman" w:cs="Times New Roman"/>
          <w:color w:val="000000"/>
          <w:sz w:val="24"/>
          <w:szCs w:val="24"/>
        </w:rPr>
        <w:t xml:space="preserve">Паспорт руководителя, учредителей (участников), фактических владельцев бизнеса.  </w:t>
      </w:r>
    </w:p>
    <w:p w:rsidR="00003610" w:rsidRPr="00432111" w:rsidRDefault="00003610" w:rsidP="00432111">
      <w:pPr>
        <w:pStyle w:val="a6"/>
        <w:numPr>
          <w:ilvl w:val="0"/>
          <w:numId w:val="9"/>
        </w:numPr>
        <w:autoSpaceDE w:val="0"/>
        <w:spacing w:after="0" w:line="240" w:lineRule="auto"/>
        <w:ind w:left="709" w:firstLine="0"/>
        <w:jc w:val="both"/>
        <w:rPr>
          <w:rFonts w:ascii="Times New Roman" w:eastAsia="Times New Roman" w:hAnsi="Times New Roman" w:cs="Times New Roman"/>
          <w:color w:val="000000"/>
          <w:sz w:val="24"/>
          <w:szCs w:val="24"/>
          <w:lang w:eastAsia="ru-RU"/>
        </w:rPr>
      </w:pPr>
      <w:r w:rsidRPr="00432111">
        <w:rPr>
          <w:rFonts w:ascii="Times New Roman" w:eastAsia="Times New Roman" w:hAnsi="Times New Roman" w:cs="Times New Roman"/>
          <w:color w:val="000000"/>
          <w:sz w:val="24"/>
          <w:szCs w:val="24"/>
          <w:lang w:eastAsia="ru-RU"/>
        </w:rPr>
        <w:t>Предложения по залогу.</w:t>
      </w:r>
    </w:p>
    <w:p w:rsidR="00003610" w:rsidRDefault="00003610" w:rsidP="00432111">
      <w:pPr>
        <w:pStyle w:val="a6"/>
        <w:widowControl w:val="0"/>
        <w:numPr>
          <w:ilvl w:val="0"/>
          <w:numId w:val="9"/>
        </w:numPr>
        <w:suppressAutoHyphens/>
        <w:autoSpaceDE w:val="0"/>
        <w:autoSpaceDN w:val="0"/>
        <w:adjustRightInd w:val="0"/>
        <w:spacing w:after="0" w:line="240" w:lineRule="auto"/>
        <w:ind w:left="709" w:firstLine="0"/>
        <w:jc w:val="both"/>
        <w:rPr>
          <w:rFonts w:ascii="Times New Roman" w:eastAsia="Times New Roman" w:hAnsi="Times New Roman" w:cs="Times New Roman"/>
          <w:sz w:val="24"/>
          <w:szCs w:val="24"/>
          <w:lang w:eastAsia="ar-SA"/>
        </w:rPr>
      </w:pPr>
      <w:r w:rsidRPr="00460AA8">
        <w:rPr>
          <w:rFonts w:ascii="Times New Roman" w:eastAsia="Times New Roman" w:hAnsi="Times New Roman" w:cs="Times New Roman"/>
          <w:sz w:val="24"/>
          <w:szCs w:val="24"/>
          <w:lang w:eastAsia="ar-SA"/>
        </w:rPr>
        <w:t>Копии платежных поручений с отметкой об исполнении, уплаченных налогов, сборов и иных обязательных платежей, установленных законодательством Российской Федерации, за четыре квартала, предшествующих дате заявки на кредит / банковской гарантии.</w:t>
      </w:r>
    </w:p>
    <w:p w:rsidR="00973531" w:rsidRDefault="00973531" w:rsidP="00973531">
      <w:pPr>
        <w:pStyle w:val="a6"/>
        <w:widowControl w:val="0"/>
        <w:suppressAutoHyphens/>
        <w:autoSpaceDE w:val="0"/>
        <w:autoSpaceDN w:val="0"/>
        <w:adjustRightInd w:val="0"/>
        <w:spacing w:after="0" w:line="240" w:lineRule="auto"/>
        <w:ind w:left="709"/>
        <w:jc w:val="both"/>
        <w:rPr>
          <w:rFonts w:ascii="Times New Roman" w:eastAsia="Times New Roman" w:hAnsi="Times New Roman" w:cs="Times New Roman"/>
          <w:sz w:val="24"/>
          <w:szCs w:val="24"/>
          <w:lang w:eastAsia="ar-SA"/>
        </w:rPr>
      </w:pPr>
    </w:p>
    <w:p w:rsidR="00973531" w:rsidRPr="00973531" w:rsidRDefault="00973531" w:rsidP="00973531">
      <w:pPr>
        <w:pStyle w:val="a6"/>
        <w:widowControl w:val="0"/>
        <w:suppressAutoHyphens/>
        <w:autoSpaceDE w:val="0"/>
        <w:autoSpaceDN w:val="0"/>
        <w:adjustRightInd w:val="0"/>
        <w:spacing w:after="0" w:line="240" w:lineRule="auto"/>
        <w:ind w:left="1416"/>
        <w:jc w:val="both"/>
        <w:rPr>
          <w:rFonts w:ascii="Times New Roman" w:eastAsia="Times New Roman" w:hAnsi="Times New Roman" w:cs="Times New Roman"/>
          <w:sz w:val="24"/>
          <w:szCs w:val="24"/>
          <w:lang w:eastAsia="ar-SA"/>
        </w:rPr>
      </w:pPr>
      <w:r w:rsidRPr="00973531">
        <w:rPr>
          <w:rFonts w:ascii="Times New Roman" w:hAnsi="Times New Roman"/>
          <w:sz w:val="24"/>
          <w:szCs w:val="24"/>
        </w:rPr>
        <w:t>В процессе рассмотрения заявки Банком могут быть запрошены иные документы.</w:t>
      </w:r>
    </w:p>
    <w:p w:rsidR="00003610" w:rsidRPr="00973531" w:rsidRDefault="00003610">
      <w:pPr>
        <w:rPr>
          <w:sz w:val="24"/>
          <w:szCs w:val="24"/>
        </w:rPr>
      </w:pPr>
    </w:p>
    <w:sectPr w:rsidR="00003610" w:rsidRPr="00973531" w:rsidSect="000036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36" w:rsidRDefault="00665E36" w:rsidP="00003610">
      <w:pPr>
        <w:spacing w:after="0" w:line="240" w:lineRule="auto"/>
      </w:pPr>
      <w:r>
        <w:separator/>
      </w:r>
    </w:p>
  </w:endnote>
  <w:endnote w:type="continuationSeparator" w:id="0">
    <w:p w:rsidR="00665E36" w:rsidRDefault="00665E36" w:rsidP="0000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36" w:rsidRDefault="00665E36" w:rsidP="00003610">
      <w:pPr>
        <w:spacing w:after="0" w:line="240" w:lineRule="auto"/>
      </w:pPr>
      <w:r>
        <w:separator/>
      </w:r>
    </w:p>
  </w:footnote>
  <w:footnote w:type="continuationSeparator" w:id="0">
    <w:p w:rsidR="00665E36" w:rsidRDefault="00665E36" w:rsidP="00003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8E6"/>
    <w:multiLevelType w:val="hybridMultilevel"/>
    <w:tmpl w:val="B70AA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B7B9D"/>
    <w:multiLevelType w:val="hybridMultilevel"/>
    <w:tmpl w:val="33CEB49A"/>
    <w:lvl w:ilvl="0" w:tplc="D424F0CA">
      <w:start w:val="2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C5733B7"/>
    <w:multiLevelType w:val="hybridMultilevel"/>
    <w:tmpl w:val="2E7E11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2376B6"/>
    <w:multiLevelType w:val="hybridMultilevel"/>
    <w:tmpl w:val="E2C08606"/>
    <w:lvl w:ilvl="0" w:tplc="B9C40E28">
      <w:start w:val="1"/>
      <w:numFmt w:val="bullet"/>
      <w:lvlText w:val="-"/>
      <w:lvlJc w:val="left"/>
      <w:pPr>
        <w:ind w:left="2138" w:hanging="360"/>
      </w:pPr>
      <w:rPr>
        <w:rFont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44E5560B"/>
    <w:multiLevelType w:val="hybridMultilevel"/>
    <w:tmpl w:val="5644F5EC"/>
    <w:lvl w:ilvl="0" w:tplc="EB444516">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1113C1"/>
    <w:multiLevelType w:val="hybridMultilevel"/>
    <w:tmpl w:val="BD82BC9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5790740F"/>
    <w:multiLevelType w:val="hybridMultilevel"/>
    <w:tmpl w:val="6160071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15:restartNumberingAfterBreak="0">
    <w:nsid w:val="62D71098"/>
    <w:multiLevelType w:val="hybridMultilevel"/>
    <w:tmpl w:val="7FF667AC"/>
    <w:lvl w:ilvl="0" w:tplc="AA76094A">
      <w:start w:val="1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B468A4"/>
    <w:multiLevelType w:val="multilevel"/>
    <w:tmpl w:val="A476DD8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6"/>
  </w:num>
  <w:num w:numId="2">
    <w:abstractNumId w:val="2"/>
  </w:num>
  <w:num w:numId="3">
    <w:abstractNumId w:val="5"/>
  </w:num>
  <w:num w:numId="4">
    <w:abstractNumId w:val="8"/>
  </w:num>
  <w:num w:numId="5">
    <w:abstractNumId w:val="3"/>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10"/>
    <w:rsid w:val="00003610"/>
    <w:rsid w:val="000B0003"/>
    <w:rsid w:val="00432111"/>
    <w:rsid w:val="00460AA8"/>
    <w:rsid w:val="00665E36"/>
    <w:rsid w:val="008E4058"/>
    <w:rsid w:val="00973531"/>
    <w:rsid w:val="00A13CC3"/>
    <w:rsid w:val="00A676B4"/>
    <w:rsid w:val="00D14DA3"/>
    <w:rsid w:val="00D8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5959"/>
  <w15:chartTrackingRefBased/>
  <w15:docId w15:val="{63E600F5-6096-48E4-BCC1-345C0483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00361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003610"/>
    <w:rPr>
      <w:rFonts w:ascii="Times New Roman" w:eastAsia="Times New Roman" w:hAnsi="Times New Roman" w:cs="Times New Roman"/>
      <w:sz w:val="20"/>
      <w:szCs w:val="20"/>
      <w:lang w:eastAsia="ar-SA"/>
    </w:rPr>
  </w:style>
  <w:style w:type="character" w:styleId="a5">
    <w:name w:val="footnote reference"/>
    <w:basedOn w:val="a0"/>
    <w:uiPriority w:val="99"/>
    <w:unhideWhenUsed/>
    <w:rsid w:val="00003610"/>
    <w:rPr>
      <w:vertAlign w:val="superscript"/>
    </w:rPr>
  </w:style>
  <w:style w:type="paragraph" w:styleId="a6">
    <w:name w:val="List Paragraph"/>
    <w:basedOn w:val="a"/>
    <w:uiPriority w:val="34"/>
    <w:qFormat/>
    <w:rsid w:val="00460AA8"/>
    <w:pPr>
      <w:ind w:left="720"/>
      <w:contextualSpacing/>
    </w:pPr>
  </w:style>
  <w:style w:type="paragraph" w:styleId="a7">
    <w:name w:val="Balloon Text"/>
    <w:basedOn w:val="a"/>
    <w:link w:val="a8"/>
    <w:uiPriority w:val="99"/>
    <w:semiHidden/>
    <w:unhideWhenUsed/>
    <w:rsid w:val="00A676B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7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Пич Валерий Георгиевич</dc:creator>
  <cp:keywords/>
  <dc:description/>
  <cp:lastModifiedBy>Пич Валерий Георгиевич</cp:lastModifiedBy>
  <cp:revision>2</cp:revision>
  <cp:lastPrinted>2026-06-08T13:49:00Z</cp:lastPrinted>
  <dcterms:created xsi:type="dcterms:W3CDTF">2026-07-01T09:52:00Z</dcterms:created>
  <dcterms:modified xsi:type="dcterms:W3CDTF">2026-07-01T09:52:00Z</dcterms:modified>
</cp:coreProperties>
</file>