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738"/>
        <w:gridCol w:w="8617"/>
      </w:tblGrid>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
              </w:numPr>
              <w:suppressAutoHyphens w:val="true"/>
              <w:overflowPunct w:val="true"/>
              <w:spacing w:lineRule="auto" w:line="240" w:before="0" w:after="0"/>
              <w:contextualSpacing/>
              <w:textAlignment w:val="baseline"/>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8"/>
                <w:szCs w:val="18"/>
                <w:lang w:eastAsia="ru-RU"/>
              </w:rPr>
              <w:t>Минимальный размер страховой суммы:</w:t>
            </w:r>
          </w:p>
        </w:tc>
      </w:tr>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2"/>
              </w:numPr>
              <w:suppressAutoHyphens w:val="true"/>
              <w:overflowPunct w:val="true"/>
              <w:spacing w:lineRule="auto" w:line="240" w:before="0" w:after="0"/>
              <w:ind w:left="205" w:hanging="283"/>
              <w:contextualSpacing/>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Для лизинговых компаний минимальный размер страховой суммы должен быть не менее рыночной стоимости приобретаемого имущества;</w:t>
            </w:r>
          </w:p>
          <w:p>
            <w:pPr>
              <w:pStyle w:val="Normal"/>
              <w:numPr>
                <w:ilvl w:val="1"/>
                <w:numId w:val="2"/>
              </w:numPr>
              <w:suppressAutoHyphens w:val="true"/>
              <w:overflowPunct w:val="true"/>
              <w:spacing w:lineRule="auto" w:line="240" w:before="0" w:after="0"/>
              <w:ind w:left="205" w:hanging="283"/>
              <w:contextualSpacing/>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Для всех остальных заемщиком (кроме лизинговых компаний) минимальный размер страховой суммы должен быть не менее залоговой стоимости предоставленного обеспечения.</w:t>
            </w:r>
          </w:p>
        </w:tc>
      </w:tr>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2"/>
              </w:numPr>
              <w:suppressAutoHyphens w:val="true"/>
              <w:overflowPunct w:val="true"/>
              <w:spacing w:lineRule="auto" w:line="240" w:before="0" w:after="0"/>
              <w:contextualSpacing/>
              <w:textAlignment w:val="baseline"/>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Условия договора страхования</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2.1. </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Страхователем по договору страхования может являться Залогодатель, Лизингополучатель, Лизингодатель.</w:t>
            </w:r>
          </w:p>
          <w:p>
            <w:pPr>
              <w:pStyle w:val="Normal"/>
              <w:spacing w:lineRule="auto" w:line="240" w:before="0" w:after="0"/>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Срок страхования:</w:t>
            </w:r>
          </w:p>
          <w:p>
            <w:pPr>
              <w:pStyle w:val="Normal"/>
              <w:spacing w:lineRule="auto" w:line="240" w:before="0" w:after="0"/>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не позднее 15-ти календарных дней для автомобильного транспорта и самоходных машин с момента подписания договора залога;</w:t>
            </w:r>
          </w:p>
          <w:p>
            <w:pPr>
              <w:pStyle w:val="Normal"/>
              <w:spacing w:lineRule="auto" w:line="240" w:before="0" w:after="0"/>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-не позднее 30 – ти календарных дней для прочего залогового имущества с момента подписания договора залога, договора ипотеки.</w:t>
            </w:r>
          </w:p>
        </w:tc>
      </w:tr>
      <w:tr>
        <w:trPr>
          <w:trHeight w:val="250" w:hRule="atLeast"/>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2.2.</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pacing w:lineRule="auto" w:line="240" w:before="0" w:after="0"/>
              <w:jc w:val="both"/>
              <w:rPr/>
            </w:pPr>
            <w:r>
              <w:rPr>
                <w:rFonts w:eastAsia="Times New Roman" w:cs="Times New Roman" w:ascii="Times New Roman" w:hAnsi="Times New Roman"/>
                <w:color w:val="000000"/>
                <w:sz w:val="16"/>
                <w:szCs w:val="16"/>
                <w:lang w:eastAsia="ru-RU"/>
              </w:rPr>
              <w:t>Выгодоприобретателем по договору страхования имущества:</w:t>
            </w:r>
          </w:p>
          <w:p>
            <w:pPr>
              <w:pStyle w:val="Normal"/>
              <w:tabs>
                <w:tab w:val="left" w:pos="284" w:leader="none"/>
                <w:tab w:val="left" w:pos="360" w:leader="none"/>
              </w:tabs>
              <w:spacing w:lineRule="auto" w:line="240" w:before="0" w:after="0"/>
              <w:jc w:val="both"/>
              <w:rPr/>
            </w:pPr>
            <w:r>
              <w:rPr>
                <w:rFonts w:eastAsia="Times New Roman" w:cs="Times New Roman" w:ascii="Times New Roman" w:hAnsi="Times New Roman"/>
                <w:color w:val="000000"/>
                <w:sz w:val="16"/>
                <w:szCs w:val="16"/>
                <w:lang w:eastAsia="ru-RU"/>
              </w:rPr>
              <w:t>-в случае хищения или утраты (полной, конструктивной гибели) имущества- ООО КБ «ГТ банк» (далее Банк);</w:t>
            </w:r>
          </w:p>
          <w:p>
            <w:pPr>
              <w:pStyle w:val="Normal"/>
              <w:tabs>
                <w:tab w:val="left" w:pos="284" w:leader="none"/>
                <w:tab w:val="left" w:pos="360" w:leader="none"/>
              </w:tabs>
              <w:spacing w:lineRule="auto" w:line="240" w:before="0" w:after="0"/>
              <w:jc w:val="both"/>
              <w:rPr/>
            </w:pPr>
            <w:r>
              <w:rPr>
                <w:rFonts w:eastAsia="Times New Roman" w:cs="Times New Roman" w:ascii="Times New Roman" w:hAnsi="Times New Roman"/>
                <w:color w:val="000000"/>
                <w:sz w:val="16"/>
                <w:szCs w:val="16"/>
                <w:lang w:eastAsia="ru-RU"/>
              </w:rPr>
              <w:t>-в случае повреждения имущества (частичной утраты имущества) – Лизингополучатель.</w:t>
            </w:r>
          </w:p>
        </w:tc>
      </w:tr>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b/>
                <w:color w:val="000000"/>
                <w:sz w:val="16"/>
                <w:szCs w:val="16"/>
                <w:lang w:eastAsia="ru-RU"/>
              </w:rPr>
              <w:t xml:space="preserve">3. Основные риски, подлежащие страхованию: </w:t>
            </w:r>
            <w:r>
              <w:rPr>
                <w:rFonts w:eastAsia="Times New Roman" w:cs="Times New Roman" w:ascii="Times New Roman" w:hAnsi="Times New Roman"/>
                <w:color w:val="000000"/>
                <w:sz w:val="16"/>
                <w:szCs w:val="16"/>
                <w:lang w:eastAsia="ru-RU"/>
              </w:rPr>
              <w:t>в отношении всех видов имущества (строения, сооружения, помещения – недвижимое имущество; земельные участки; машины и оборудование; ТМЦ на складе и в обороте; инженерные сети, остекление; строения – квартиры, коттеджи, внутренняя и внешняя отделка, инженерное оборудование, движимое имущество - предметы интерьера и обстановки, мебель; бытовая техника имущество, предназначенное для индивидуального использования (одежда, обувь, посуда и т.п))</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3.1. </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пожар, удар молнии, взрыв газа, употребляемого в бытовых и промышленных целях;</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3.2. </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стихийные бедствия (землетрясение, извержение вулкана или действие подземного огня, просадка грунта, оползни, горные обвалы, бури, вихри, ураган, смерч, удар молнии, наводнение, град или ливень, носящие особо опасный характер и необычные для данной местности и т.п.);</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3.3. </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взрыв паровых котлов, газохранилищ, газопроводов, машин, аппаратов и других аналогичных устройств;</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3.4. </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повреждение имущества водой из водопроводных, канализационных, отопительных систем и систем пожаротушения; проникновение воды или жидкости из соседних помещений;</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3.5. </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uppressAutoHyphens w:val="true"/>
              <w:overflowPunct w:val="true"/>
              <w:spacing w:lineRule="auto" w:line="240" w:before="0" w:after="0"/>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противоправные/злоумышленные действия третьих лиц (кража со взломом, грабеж, разбой, вандализм, хулиганство, умышленное уничтожение имущества), приведшие к уничтожению или повреждению имущества;</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3.6. </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uppressAutoHyphens w:val="true"/>
              <w:overflowPunct w:val="true"/>
              <w:spacing w:lineRule="auto" w:line="240" w:before="0" w:after="0"/>
              <w:textAlignment w:val="baseline"/>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16"/>
                <w:szCs w:val="16"/>
                <w:lang w:eastAsia="ru-RU"/>
              </w:rPr>
              <w:t>Постороннее воздействие (падение на застрахованное имущество летательных аппаратов и/или их обломков; деревьев; столбов; матч освещения и пр) .</w:t>
            </w:r>
            <w:r>
              <w:rPr>
                <w:rFonts w:eastAsia="Times New Roman" w:cs="Times New Roman" w:ascii="Times New Roman" w:hAnsi="Times New Roman"/>
                <w:sz w:val="28"/>
                <w:szCs w:val="28"/>
                <w:lang w:eastAsia="zh-CN"/>
              </w:rPr>
              <w:t xml:space="preserve"> </w:t>
            </w:r>
          </w:p>
        </w:tc>
      </w:tr>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4 Основные риски, подлежащие страхованию, в отношении всех видов Автотранспортных средств (легковые и грузовые автомобили, тягачи, автопоезда, прицепы и пр.  самоходные транспортные средства, передвигающиеся по дорогам общего пользования и иным территориям)</w:t>
            </w:r>
          </w:p>
        </w:tc>
      </w:tr>
      <w:tr>
        <w:trPr>
          <w:trHeight w:val="56" w:hRule="atLeast"/>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4.1</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УЩЕРБ в результате ДТП, пожара от внешних и иных источников (взрыв, удар молнии, самовозгорание), столкновения, наезда, опрокидывания, падение в воду, стихийные действия, механическое повреждение (камни, деревья и пр), риски УЩЕРБ вне дорог для грузовых ТС; противоправные действия третьих лиц.</w:t>
            </w:r>
          </w:p>
        </w:tc>
      </w:tr>
      <w:tr>
        <w:trPr>
          <w:trHeight w:val="56" w:hRule="atLeast"/>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4.2</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0" w:after="0"/>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УГОН</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4.3</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0" w:after="0"/>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ХИЩЕНИЕ</w:t>
            </w:r>
          </w:p>
        </w:tc>
      </w:tr>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5 Основные риски, подлежащие страхованию в отношении всех видов СПЕЦИАЛИЗИРОВАННОЙ ТЕХНИКИ и передвижного оборудования</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5.1</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uppressAutoHyphens w:val="true"/>
              <w:overflowPunct w:val="true"/>
              <w:spacing w:lineRule="auto" w:line="240" w:before="0" w:after="0"/>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пожар, вследствие удара молнии, взрыва, неисправности электрооборудования в том числе ущерб при погрузке/разгрузке техники на специализированную платформу, предназначенную для перевозки техники </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5.2</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uppressAutoHyphens w:val="true"/>
              <w:overflowPunct w:val="true"/>
              <w:spacing w:lineRule="auto" w:line="240" w:before="0" w:after="0"/>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 </w:t>
            </w:r>
            <w:r>
              <w:rPr>
                <w:rFonts w:eastAsia="Times New Roman" w:cs="Times New Roman" w:ascii="Times New Roman" w:hAnsi="Times New Roman"/>
                <w:color w:val="000000"/>
                <w:sz w:val="16"/>
                <w:szCs w:val="16"/>
                <w:lang w:eastAsia="ru-RU"/>
              </w:rPr>
              <w:t>стихийные бедствия – град, камнепад, наводнение, оползень, цунами, буря, ураган, землетрясение</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5.3</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uppressAutoHyphens w:val="true"/>
              <w:overflowPunct w:val="true"/>
              <w:spacing w:lineRule="auto" w:line="240" w:before="0" w:after="0"/>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противоправные действия третьих лиц, хулиганство, вандализм</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5.4</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uppressAutoHyphens w:val="true"/>
              <w:overflowPunct w:val="true"/>
              <w:spacing w:lineRule="auto" w:line="240" w:before="0" w:after="0"/>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ДТП, столкновение с различными предметами (в том числе с транспортными средствами); наезд на неподвижные или движущиеся предметы, сооружения, препятствия</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5.5</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uppressAutoHyphens w:val="true"/>
              <w:overflowPunct w:val="true"/>
              <w:spacing w:lineRule="auto" w:line="240" w:before="0" w:after="0"/>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Повреждение посторонним предметом</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5.6</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uppressAutoHyphens w:val="true"/>
              <w:overflowPunct w:val="true"/>
              <w:spacing w:lineRule="auto" w:line="240" w:before="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При этом возмещаются убытки, ставшие следствием наступления застрахованных по договору рисков, в период перевозки застрахованного имущества на специализированной платформе, предназначенной для перевозки техники, при условии, что такая перевозка осуществлялась по дорогам общего пользования, а также во время перегона самоходной специализированной техники с одной производственной площадки на другую, и/или перегона с места стоянки до производственного участка и обратно.</w:t>
            </w:r>
          </w:p>
        </w:tc>
      </w:tr>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b/>
                <w:color w:val="000000"/>
                <w:sz w:val="16"/>
                <w:szCs w:val="16"/>
                <w:lang w:eastAsia="ru-RU"/>
              </w:rPr>
              <w:t>6 Страховая премия</w:t>
            </w:r>
            <w:r>
              <w:rPr>
                <w:rFonts w:eastAsia="Times New Roman" w:cs="Times New Roman" w:ascii="Times New Roman" w:hAnsi="Times New Roman"/>
                <w:color w:val="000000"/>
                <w:sz w:val="16"/>
                <w:szCs w:val="16"/>
                <w:lang w:eastAsia="ru-RU"/>
              </w:rPr>
              <w:t xml:space="preserve"> </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6.1 </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Страховая премия оплачивается страхователем.</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6.2</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84" w:leader="none"/>
                <w:tab w:val="left" w:pos="360" w:leader="none"/>
              </w:tabs>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Оплата страховой премии должна производиться единовременно за весь срок страхования. </w:t>
            </w:r>
          </w:p>
        </w:tc>
      </w:tr>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7 Срок договора страхования.</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7.1</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Срок действия договора страхования должен составлять не менее чем срок действия договора залога, увеличенный на один месяц. Если отсутствует возможность застраховать на весь срок действия договора залога, возможно страхование на срок не менее 1 (Одного) года с дальнейшей ежегодной пролонгацией страхования до момента закрытия договора залога увеличенный на один месяц.</w:t>
            </w:r>
          </w:p>
        </w:tc>
      </w:tr>
      <w:tr>
        <w:trPr/>
        <w:tc>
          <w:tcPr>
            <w:tcW w:w="93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b/>
                <w:color w:val="000000"/>
                <w:sz w:val="16"/>
                <w:szCs w:val="16"/>
                <w:lang w:eastAsia="ru-RU"/>
              </w:rPr>
              <w:t>8 Обязанности Страховщика</w:t>
            </w:r>
            <w:r>
              <w:rPr>
                <w:rFonts w:eastAsia="Times New Roman" w:cs="Times New Roman" w:ascii="Times New Roman" w:hAnsi="Times New Roman"/>
                <w:color w:val="000000"/>
                <w:sz w:val="16"/>
                <w:szCs w:val="16"/>
                <w:lang w:eastAsia="ru-RU"/>
              </w:rPr>
              <w:t xml:space="preserve"> </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8.1</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6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сообщение Банку о факте замены выгодоприобретателя по договору страхования в тех случаях, когда она допускается действующим законодательством, и фактах неуплаты страхователем страховой премии в срок, предусмотренный договором страхования;</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8.2</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6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извещение Банка об изменении условий страхования;</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8.3</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6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уведомление Банка обо всех ставших известными Залогодателю случаях значительных изменений в обстоятельствах, сообщенных Страховщику при заключении договора, если эти обстоятельства могут существенно повлиять на увеличение страхового риска;</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8.4</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6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извещение Банка о наступлении страхового случая;</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8.5</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6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рассмотрение заявления от страхователя или выгодоприобретателя о наступлении страхового случая и оформление страхового акта в течение не более чем 10-ти рабочих дней с даты получения необходимых для урегулирования убытков документов, подтверждающих причину страхового случая, размер ущерба и иных документов в соответствии с договором и правилами страхования;</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8.6</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6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оформление страхового акта с указанием размера ущерба, причины наступления страхового случая, решения о выплате (отказе в выплате), размере выплаты (причине отказа);</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8.7</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6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принятие решения о выплате страхового возмещения в течение 5-ти рабочих дней после подписания страхового акта;</w:t>
            </w:r>
          </w:p>
        </w:tc>
      </w:tr>
      <w:tr>
        <w:trPr/>
        <w:tc>
          <w:tcPr>
            <w:tcW w:w="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t>8.8</w:t>
            </w:r>
          </w:p>
        </w:tc>
        <w:tc>
          <w:tcPr>
            <w:tcW w:w="8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overflowPunct w:val="true"/>
              <w:spacing w:lineRule="auto" w:line="240" w:before="60" w:after="0"/>
              <w:jc w:val="both"/>
              <w:textAlignment w:val="baseline"/>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осуществление выплаты страхового возмещения в течение 10-ти рабочих дней с момента принятия решения о выплате, либо иной разумный срок, согласованный со страхователем и выгодоприобретателем при заключении договора страхования, исходя из конкретных условий страхования.</w:t>
            </w:r>
          </w:p>
        </w:tc>
      </w:tr>
    </w:tbl>
    <w:p>
      <w:pPr>
        <w:pStyle w:val="Normal"/>
        <w:suppressAutoHyphens w:val="true"/>
        <w:overflowPunct w:val="true"/>
        <w:spacing w:lineRule="auto" w:line="240" w:before="0" w:after="0"/>
        <w:ind w:firstLine="426"/>
        <w:jc w:val="both"/>
        <w:textAlignment w:val="baseline"/>
        <w:rPr>
          <w:rFonts w:ascii="Times New Roman" w:hAnsi="Times New Roman" w:eastAsia="Times New Roman" w:cs="Times New Roman"/>
          <w:color w:val="000000"/>
          <w:sz w:val="18"/>
          <w:szCs w:val="18"/>
          <w:lang w:eastAsia="zh-CN"/>
        </w:rPr>
      </w:pPr>
      <w:r>
        <w:rPr>
          <w:rFonts w:eastAsia="Times New Roman" w:cs="Times New Roman" w:ascii="Times New Roman" w:hAnsi="Times New Roman"/>
          <w:color w:val="000000"/>
          <w:sz w:val="18"/>
          <w:szCs w:val="18"/>
          <w:lang w:eastAsia="zh-CN"/>
        </w:rPr>
      </w:r>
    </w:p>
    <w:p>
      <w:pPr>
        <w:pStyle w:val="Normal"/>
        <w:suppressAutoHyphens w:val="true"/>
        <w:overflowPunct w:val="true"/>
        <w:spacing w:lineRule="auto" w:line="240" w:before="0" w:after="0"/>
        <w:ind w:firstLine="426"/>
        <w:jc w:val="both"/>
        <w:textAlignment w:val="baseline"/>
        <w:rPr>
          <w:rFonts w:ascii="Times New Roman" w:hAnsi="Times New Roman" w:eastAsia="Times New Roman" w:cs="Times New Roman"/>
          <w:color w:val="000000"/>
          <w:sz w:val="18"/>
          <w:szCs w:val="18"/>
          <w:lang w:eastAsia="zh-CN"/>
        </w:rPr>
      </w:pPr>
      <w:r>
        <w:rPr>
          <w:rFonts w:eastAsia="Times New Roman" w:cs="Times New Roman" w:ascii="Times New Roman" w:hAnsi="Times New Roman"/>
          <w:color w:val="000000"/>
          <w:sz w:val="18"/>
          <w:szCs w:val="18"/>
          <w:lang w:eastAsia="zh-CN"/>
        </w:rPr>
        <w:t>Договор имущественного страхования может содержать условие о франшизе (предусмотренное условиями страхования освобождение страховщика от возмещения оговоренной части убытков страхователя). Франшиза может быть выражена как пропорциональная доля (в процентах от страховой суммы) либо как абсолютная величина (в денежном выражении).</w:t>
      </w:r>
    </w:p>
    <w:p>
      <w:pPr>
        <w:pStyle w:val="Normal"/>
        <w:suppressAutoHyphens w:val="true"/>
        <w:overflowPunct w:val="true"/>
        <w:spacing w:lineRule="auto" w:line="240" w:before="0" w:after="0"/>
        <w:ind w:firstLine="426"/>
        <w:jc w:val="both"/>
        <w:textAlignment w:val="baseline"/>
        <w:rPr>
          <w:rFonts w:ascii="Times New Roman" w:hAnsi="Times New Roman" w:eastAsia="Times New Roman" w:cs="Times New Roman"/>
          <w:color w:val="000000"/>
          <w:sz w:val="18"/>
          <w:szCs w:val="18"/>
          <w:lang w:eastAsia="zh-CN"/>
        </w:rPr>
      </w:pPr>
      <w:r>
        <w:rPr>
          <w:rFonts w:eastAsia="Times New Roman" w:cs="Times New Roman" w:ascii="Times New Roman" w:hAnsi="Times New Roman"/>
          <w:color w:val="000000"/>
          <w:sz w:val="18"/>
          <w:szCs w:val="18"/>
          <w:lang w:eastAsia="zh-CN"/>
        </w:rPr>
        <w:t>Размер франшизы не может превышать следующих установленных значений, если иное не предусмотрено решением Уполномоченного органа Банка:</w:t>
      </w:r>
    </w:p>
    <w:p>
      <w:pPr>
        <w:pStyle w:val="Normal"/>
        <w:suppressAutoHyphens w:val="true"/>
        <w:overflowPunct w:val="true"/>
        <w:spacing w:lineRule="auto" w:line="240" w:before="0" w:after="0"/>
        <w:ind w:firstLine="426"/>
        <w:jc w:val="both"/>
        <w:textAlignment w:val="baseline"/>
        <w:rPr>
          <w:rFonts w:ascii="Times New Roman" w:hAnsi="Times New Roman" w:eastAsia="Times New Roman" w:cs="Times New Roman"/>
          <w:color w:val="000000"/>
          <w:sz w:val="18"/>
          <w:szCs w:val="18"/>
          <w:lang w:eastAsia="zh-CN"/>
        </w:rPr>
      </w:pPr>
      <w:r>
        <w:rPr>
          <w:rFonts w:eastAsia="Times New Roman" w:cs="Times New Roman" w:ascii="Times New Roman" w:hAnsi="Times New Roman"/>
          <w:color w:val="000000"/>
          <w:sz w:val="18"/>
          <w:szCs w:val="18"/>
          <w:lang w:eastAsia="zh-CN"/>
        </w:rPr>
      </w:r>
    </w:p>
    <w:tbl>
      <w:tblPr>
        <w:tblpPr w:bottomFromText="0" w:horzAnchor="text" w:leftFromText="180" w:rightFromText="180" w:tblpX="0" w:tblpXSpec="center" w:tblpY="1" w:topFromText="0" w:vertAnchor="text"/>
        <w:tblW w:w="9667" w:type="dxa"/>
        <w:jc w:val="center"/>
        <w:tblInd w:w="0" w:type="dxa"/>
        <w:tblBorders>
          <w:top w:val="single" w:sz="4" w:space="0" w:color="00000A"/>
          <w:left w:val="single" w:sz="4" w:space="0" w:color="00000A"/>
        </w:tblBorders>
        <w:tblCellMar>
          <w:top w:w="0" w:type="dxa"/>
          <w:left w:w="-5" w:type="dxa"/>
          <w:bottom w:w="0" w:type="dxa"/>
          <w:right w:w="0" w:type="dxa"/>
        </w:tblCellMar>
        <w:tblLook w:firstRow="0" w:noVBand="0" w:lastRow="0" w:firstColumn="0" w:lastColumn="0" w:noHBand="0" w:val="0000"/>
      </w:tblPr>
      <w:tblGrid>
        <w:gridCol w:w="5816"/>
        <w:gridCol w:w="3850"/>
      </w:tblGrid>
      <w:tr>
        <w:trPr>
          <w:trHeight w:val="638"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right="1780" w:hanging="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Вид имущества</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Предельный размер франшизы в % от страховой суммы или в руб.</w:t>
            </w:r>
          </w:p>
        </w:tc>
      </w:tr>
      <w:tr>
        <w:trPr>
          <w:trHeight w:val="220"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right="308" w:firstLine="147"/>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Недвижимость, в том числе земельные участки</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1%, но не более 150 тыс. руб.</w:t>
            </w:r>
          </w:p>
        </w:tc>
      </w:tr>
      <w:tr>
        <w:trPr>
          <w:trHeight w:val="280"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Оборудование до 1 000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5%, но не более 50 тыс. руб.</w:t>
            </w:r>
          </w:p>
        </w:tc>
      </w:tr>
      <w:tr>
        <w:trPr>
          <w:trHeight w:val="283"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Оборудование от 1 000 тыс. руб. до 5 000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3%, но не более 100 тыс. руб.</w:t>
            </w:r>
          </w:p>
        </w:tc>
      </w:tr>
      <w:tr>
        <w:trPr>
          <w:trHeight w:val="287"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Оборудование от 5 000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1%, но не более 100 тыс. руб.</w:t>
            </w:r>
          </w:p>
        </w:tc>
      </w:tr>
      <w:tr>
        <w:trPr>
          <w:trHeight w:val="277"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ТС стоимостью до 1 000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7%, но не более 50 тыс. руб.</w:t>
            </w:r>
          </w:p>
        </w:tc>
      </w:tr>
      <w:tr>
        <w:trPr>
          <w:trHeight w:val="295"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ТС стоимостью от 1 000 тыс. руб. до 2 500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5%, но не более 75 тыс. руб.</w:t>
            </w:r>
          </w:p>
        </w:tc>
      </w:tr>
      <w:tr>
        <w:trPr>
          <w:trHeight w:val="285"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ТС стоимостью свыше 2 500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5%, но не более 150 тыс. руб.</w:t>
            </w:r>
          </w:p>
        </w:tc>
      </w:tr>
      <w:tr>
        <w:trPr>
          <w:trHeight w:val="290"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Спецтехника стоимостью до 5 000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2%, но не более 100 тыс. руб.</w:t>
            </w:r>
          </w:p>
        </w:tc>
      </w:tr>
      <w:tr>
        <w:trPr>
          <w:trHeight w:val="279"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Спецтехника стоимостью от 5 000 тыс. руб. до 15 000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2%, но не более 150 тыс. руб.</w:t>
            </w:r>
          </w:p>
        </w:tc>
      </w:tr>
      <w:tr>
        <w:trPr>
          <w:trHeight w:val="283" w:hRule="exact"/>
        </w:trPr>
        <w:tc>
          <w:tcPr>
            <w:tcW w:w="5816"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Спецтехника стоимостью свыше 15 000 тыс. руб.</w:t>
            </w:r>
          </w:p>
        </w:tc>
        <w:tc>
          <w:tcPr>
            <w:tcW w:w="38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2%, но не более 300 тыс. руб.</w:t>
            </w:r>
          </w:p>
        </w:tc>
      </w:tr>
      <w:tr>
        <w:trPr>
          <w:trHeight w:val="287" w:hRule="exact"/>
        </w:trPr>
        <w:tc>
          <w:tcPr>
            <w:tcW w:w="581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val="false"/>
              <w:spacing w:lineRule="auto" w:line="240" w:before="0" w:after="0"/>
              <w:ind w:left="160" w:hanging="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Товарно-материальные ценности</w:t>
            </w:r>
          </w:p>
        </w:tc>
        <w:tc>
          <w:tcPr>
            <w:tcW w:w="3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ind w:left="720" w:firstLine="12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5%, но не более 100 тыс. руб.</w:t>
            </w:r>
          </w:p>
        </w:tc>
      </w:tr>
    </w:tbl>
    <w:p>
      <w:pPr>
        <w:pStyle w:val="Normal"/>
        <w:widowControl w:val="false"/>
        <w:spacing w:lineRule="auto" w:line="240" w:before="0" w:after="0"/>
        <w:rPr>
          <w:rFonts w:ascii="Courier New" w:hAnsi="Courier New" w:eastAsia="Times New Roman" w:cs="Courier New"/>
          <w:color w:val="000000"/>
          <w:sz w:val="18"/>
          <w:szCs w:val="18"/>
          <w:lang w:eastAsia="ru-RU"/>
        </w:rPr>
      </w:pPr>
      <w:r>
        <w:rPr>
          <w:rFonts w:eastAsia="Times New Roman" w:cs="Courier New" w:ascii="Courier New" w:hAnsi="Courier New"/>
          <w:color w:val="000000"/>
          <w:sz w:val="18"/>
          <w:szCs w:val="18"/>
          <w:lang w:eastAsia="ru-RU"/>
        </w:rPr>
      </w:r>
    </w:p>
    <w:p>
      <w:pPr>
        <w:pStyle w:val="Normal"/>
        <w:widowControl w:val="false"/>
        <w:spacing w:lineRule="auto" w:line="240" w:before="0" w:after="0"/>
        <w:ind w:left="23" w:right="23" w:firstLine="561"/>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При включении условия о франшизе в Договор имущественного страхования минимальный размер страховой суммы должен быть не менее залоговой стоимости имущества, увеличенной на сумму франшизы.</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6"/>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b/>
      <w:sz w:val="16"/>
    </w:rPr>
  </w:style>
  <w:style w:type="paragraph" w:styleId="Style14">
    <w:name w:val="Заголовок"/>
    <w:basedOn w:val="Normal"/>
    <w:next w:val="Style15"/>
    <w:qFormat/>
    <w:pPr>
      <w:keepNext/>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LibreOffice/5.3.3.2$Windows_x86 LibreOffice_project/3d9a8b4b4e538a85e0782bd6c2d430bafe583448</Application>
  <Pages>2</Pages>
  <Words>1026</Words>
  <Characters>6764</Characters>
  <CharactersWithSpaces>7708</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2023-04-05T12:36:00Z</dcterms:created>
  <dc:creator>Савостьянов Владимир Андреевич</dc:creator>
  <dc:description/>
  <dc:language>ru-RU</dc:language>
  <cp:lastModifiedBy/>
  <dcterms:modified xsi:type="dcterms:W3CDTF">2024-06-25T14:25:05Z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