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AA27A2" w:rsidRPr="00AA27A2">
        <w:rPr>
          <w:b/>
        </w:rPr>
        <w:t>Выгодный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AA27A2">
        <w:rPr>
          <w:b/>
        </w:rPr>
        <w:t>Выгодный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AA27A2">
        <w:t>200</w:t>
      </w:r>
      <w:r w:rsidRPr="00E60072">
        <w:t xml:space="preserve"> дней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</w:t>
      </w:r>
      <w:r w:rsidR="00471E0E">
        <w:rPr>
          <w:rFonts w:ascii="Times New Roman" w:hAnsi="Times New Roman"/>
          <w:sz w:val="23"/>
          <w:szCs w:val="23"/>
        </w:rPr>
        <w:t>/</w:t>
      </w:r>
      <w:r w:rsidR="00471E0E">
        <w:rPr>
          <w:rFonts w:ascii="Times New Roman" w:hAnsi="Times New Roman"/>
          <w:sz w:val="24"/>
          <w:szCs w:val="24"/>
        </w:rPr>
        <w:t xml:space="preserve"> </w:t>
      </w:r>
      <w:r w:rsidR="00471E0E" w:rsidRPr="00471E0E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</w:t>
      </w:r>
      <w:r w:rsidR="00375221">
        <w:t xml:space="preserve">.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>Проценты пр</w:t>
      </w:r>
      <w:bookmarkStart w:id="0" w:name="_GoBack"/>
      <w:bookmarkEnd w:id="0"/>
      <w:r>
        <w:t xml:space="preserve">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080E1B">
        <w:rPr>
          <w:b/>
          <w:color w:val="auto"/>
        </w:rPr>
        <w:t>12</w:t>
      </w:r>
      <w:r w:rsidR="002E3577" w:rsidRPr="00901F5C">
        <w:rPr>
          <w:b/>
          <w:color w:val="auto"/>
        </w:rPr>
        <w:t>,</w:t>
      </w:r>
      <w:r w:rsidR="008402A0">
        <w:rPr>
          <w:b/>
          <w:color w:val="auto"/>
        </w:rPr>
        <w:t>607</w:t>
      </w:r>
      <w:r w:rsidRPr="002E3577">
        <w:rPr>
          <w:color w:val="auto"/>
        </w:rPr>
        <w:t xml:space="preserve">% </w:t>
      </w:r>
    </w:p>
    <w:p w:rsidR="00B83DD1" w:rsidRPr="002E3577" w:rsidRDefault="00B83DD1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080E1B">
        <w:rPr>
          <w:b/>
          <w:color w:val="auto"/>
        </w:rPr>
        <w:t>12</w:t>
      </w:r>
      <w:r w:rsidRPr="002E3577">
        <w:rPr>
          <w:b/>
          <w:color w:val="auto"/>
        </w:rPr>
        <w:t>,</w:t>
      </w:r>
      <w:r w:rsidR="008402A0">
        <w:rPr>
          <w:b/>
          <w:color w:val="auto"/>
        </w:rPr>
        <w:t>25</w:t>
      </w:r>
      <w:r w:rsidRPr="002E3577">
        <w:rPr>
          <w:color w:val="auto"/>
        </w:rP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0D68A6" w:rsidRPr="000D68A6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>Вы можете добавлять деньги на Ваш вклад</w:t>
      </w:r>
      <w:r w:rsidR="00A35F91">
        <w:t xml:space="preserve"> первые 30 дней, в сумме не менее 1000 рублей</w:t>
      </w:r>
      <w:r>
        <w:t xml:space="preserve">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A35F91">
        <w:t>200</w:t>
      </w:r>
      <w:r w:rsidRPr="00E60072">
        <w:t xml:space="preserve"> дней</w:t>
      </w:r>
      <w:r>
        <w:t xml:space="preserve">. </w:t>
      </w:r>
    </w:p>
    <w:p w:rsidR="00F5402E" w:rsidRDefault="00F5402E" w:rsidP="009460E9">
      <w:pPr>
        <w:ind w:left="0" w:right="269"/>
      </w:pPr>
      <w:r>
        <w:t xml:space="preserve">Вы можете забрать </w:t>
      </w:r>
      <w:r w:rsidR="00A35F91">
        <w:t xml:space="preserve">проценты, которые Вам зачислили на вклад. </w:t>
      </w:r>
      <w:r>
        <w:t xml:space="preserve">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lastRenderedPageBreak/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A35F91">
        <w:t>200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CD3419">
      <w:pPr>
        <w:spacing w:after="0"/>
        <w:ind w:left="0" w:right="150"/>
      </w:pPr>
      <w:r>
        <w:t xml:space="preserve">Через </w:t>
      </w:r>
      <w:r w:rsidR="00A35F91">
        <w:t>200</w:t>
      </w:r>
      <w:r w:rsidRPr="00E60072">
        <w:t xml:space="preserve">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CD3419" w:rsidRPr="00CD3419" w:rsidRDefault="00CD3419" w:rsidP="00CD3419">
      <w:pPr>
        <w:spacing w:after="0" w:line="240" w:lineRule="auto"/>
        <w:ind w:left="0" w:firstLine="0"/>
      </w:pPr>
      <w:r w:rsidRPr="00CD3419">
        <w:t xml:space="preserve">Если в день окончания Вклада </w:t>
      </w:r>
      <w:r>
        <w:t>вы</w:t>
      </w:r>
      <w:r w:rsidRPr="00CD3419">
        <w:t xml:space="preserve"> не востребовал свои денежные средства, договор вклада пролонгируется на условиях, действующих по данному виду вклада на дату пролонгации договора. Пролонгация предусмотрена при условии, что данный вид Вклада действует в Банке на дату окончания Вклада по сроку, но не более 2-х раз. </w:t>
      </w: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80E1B"/>
    <w:rsid w:val="000D68A6"/>
    <w:rsid w:val="000E2E5F"/>
    <w:rsid w:val="00104E47"/>
    <w:rsid w:val="00183085"/>
    <w:rsid w:val="001C3220"/>
    <w:rsid w:val="001F4AB7"/>
    <w:rsid w:val="00214747"/>
    <w:rsid w:val="002150B5"/>
    <w:rsid w:val="00236721"/>
    <w:rsid w:val="002D3A41"/>
    <w:rsid w:val="002E3577"/>
    <w:rsid w:val="00316AA4"/>
    <w:rsid w:val="00375221"/>
    <w:rsid w:val="00386DC5"/>
    <w:rsid w:val="003D1F4D"/>
    <w:rsid w:val="00405FFD"/>
    <w:rsid w:val="004704AB"/>
    <w:rsid w:val="00471E0E"/>
    <w:rsid w:val="00483F1A"/>
    <w:rsid w:val="004923D3"/>
    <w:rsid w:val="004A0C71"/>
    <w:rsid w:val="00504B93"/>
    <w:rsid w:val="00590A3A"/>
    <w:rsid w:val="00647DFA"/>
    <w:rsid w:val="006951FD"/>
    <w:rsid w:val="006A42F0"/>
    <w:rsid w:val="006B2F98"/>
    <w:rsid w:val="006C252A"/>
    <w:rsid w:val="006D214E"/>
    <w:rsid w:val="006F62B0"/>
    <w:rsid w:val="007242AC"/>
    <w:rsid w:val="00747095"/>
    <w:rsid w:val="00761938"/>
    <w:rsid w:val="007D5771"/>
    <w:rsid w:val="008402A0"/>
    <w:rsid w:val="00842145"/>
    <w:rsid w:val="008671DA"/>
    <w:rsid w:val="008A25EE"/>
    <w:rsid w:val="008C0D01"/>
    <w:rsid w:val="00901F5C"/>
    <w:rsid w:val="009460E9"/>
    <w:rsid w:val="009526B9"/>
    <w:rsid w:val="009D1E23"/>
    <w:rsid w:val="00A2100C"/>
    <w:rsid w:val="00A35F91"/>
    <w:rsid w:val="00A63D45"/>
    <w:rsid w:val="00AA27A2"/>
    <w:rsid w:val="00AB4BEB"/>
    <w:rsid w:val="00AF4A78"/>
    <w:rsid w:val="00B05774"/>
    <w:rsid w:val="00B216B7"/>
    <w:rsid w:val="00B233C0"/>
    <w:rsid w:val="00B2469C"/>
    <w:rsid w:val="00B53057"/>
    <w:rsid w:val="00B641BC"/>
    <w:rsid w:val="00B83DD1"/>
    <w:rsid w:val="00B84052"/>
    <w:rsid w:val="00BF4032"/>
    <w:rsid w:val="00C12A65"/>
    <w:rsid w:val="00C1316A"/>
    <w:rsid w:val="00C2170B"/>
    <w:rsid w:val="00C32C1D"/>
    <w:rsid w:val="00CD3419"/>
    <w:rsid w:val="00D02414"/>
    <w:rsid w:val="00D90423"/>
    <w:rsid w:val="00E41E66"/>
    <w:rsid w:val="00E60072"/>
    <w:rsid w:val="00F51F99"/>
    <w:rsid w:val="00F5402E"/>
    <w:rsid w:val="00F73A9D"/>
    <w:rsid w:val="00F8594B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4B3E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F7FF-5E20-4E3C-B68A-4F58572C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4</cp:revision>
  <cp:lastPrinted>2023-11-02T13:11:00Z</cp:lastPrinted>
  <dcterms:created xsi:type="dcterms:W3CDTF">2026-05-15T11:07:00Z</dcterms:created>
  <dcterms:modified xsi:type="dcterms:W3CDTF">2026-06-09T14:31:00Z</dcterms:modified>
</cp:coreProperties>
</file>