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353E" w14:textId="77777777" w:rsidR="007D0C8C" w:rsidRPr="00B25B83" w:rsidRDefault="007D0C8C" w:rsidP="002312C0">
      <w:pPr>
        <w:pStyle w:val="-3"/>
        <w:rPr>
          <w:sz w:val="32"/>
          <w:szCs w:val="32"/>
        </w:rPr>
      </w:pPr>
      <w:r w:rsidRPr="00B25B83">
        <w:rPr>
          <w:sz w:val="32"/>
          <w:szCs w:val="32"/>
        </w:rPr>
        <w:t>Порядок обмена сообщениями</w:t>
      </w:r>
    </w:p>
    <w:p w14:paraId="3CD99A90" w14:textId="77777777" w:rsidR="007D0C8C" w:rsidRPr="00B25B83" w:rsidRDefault="007D0C8C" w:rsidP="002312C0">
      <w:pPr>
        <w:pStyle w:val="-3"/>
        <w:rPr>
          <w:sz w:val="32"/>
          <w:szCs w:val="32"/>
        </w:rPr>
      </w:pPr>
      <w:r w:rsidRPr="00B25B83">
        <w:rPr>
          <w:sz w:val="32"/>
          <w:szCs w:val="32"/>
        </w:rPr>
        <w:t>и обеспечения технического доступа к информационно-торгов</w:t>
      </w:r>
      <w:r w:rsidR="00E44F2E" w:rsidRPr="00B25B83">
        <w:rPr>
          <w:sz w:val="32"/>
          <w:szCs w:val="32"/>
        </w:rPr>
        <w:t>ой</w:t>
      </w:r>
      <w:r w:rsidRPr="00B25B83">
        <w:rPr>
          <w:sz w:val="32"/>
          <w:szCs w:val="32"/>
        </w:rPr>
        <w:t xml:space="preserve"> систем</w:t>
      </w:r>
      <w:r w:rsidR="00E44F2E" w:rsidRPr="00B25B83">
        <w:rPr>
          <w:sz w:val="32"/>
          <w:szCs w:val="32"/>
        </w:rPr>
        <w:t>е</w:t>
      </w:r>
      <w:r w:rsidRPr="00B25B83">
        <w:rPr>
          <w:sz w:val="32"/>
          <w:szCs w:val="32"/>
        </w:rPr>
        <w:t xml:space="preserve"> QUIK</w:t>
      </w:r>
    </w:p>
    <w:p w14:paraId="030B56B7" w14:textId="77777777" w:rsidR="007D0C8C" w:rsidRPr="00B25B83" w:rsidRDefault="007D0C8C" w:rsidP="002312C0">
      <w:pPr>
        <w:pStyle w:val="af5"/>
        <w:ind w:firstLine="0"/>
        <w:rPr>
          <w:sz w:val="36"/>
          <w:szCs w:val="36"/>
        </w:rPr>
      </w:pPr>
    </w:p>
    <w:p w14:paraId="650A5A22" w14:textId="77777777" w:rsidR="007D0C8C" w:rsidRPr="00B25B83" w:rsidRDefault="007D0C8C" w:rsidP="002312C0">
      <w:pPr>
        <w:widowControl/>
        <w:ind w:firstLine="0"/>
        <w:jc w:val="center"/>
      </w:pPr>
      <w:r w:rsidRPr="00B25B83">
        <w:t>Оглавление</w:t>
      </w:r>
    </w:p>
    <w:p w14:paraId="5930B846" w14:textId="1BA2E164" w:rsidR="007D0C8C" w:rsidRPr="00B25B83" w:rsidRDefault="007D0C8C" w:rsidP="002312C0">
      <w:pPr>
        <w:jc w:val="right"/>
      </w:pPr>
    </w:p>
    <w:p w14:paraId="1FEC42D3" w14:textId="070438A4" w:rsidR="00997321" w:rsidRDefault="007D0C8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r w:rsidRPr="00B25B83">
        <w:rPr>
          <w:bCs w:val="0"/>
        </w:rPr>
        <w:fldChar w:fldCharType="begin"/>
      </w:r>
      <w:r w:rsidRPr="00B25B83">
        <w:rPr>
          <w:bCs w:val="0"/>
        </w:rPr>
        <w:instrText xml:space="preserve"> TOC \o "1-1" \h \z \u </w:instrText>
      </w:r>
      <w:r w:rsidRPr="00B25B83">
        <w:rPr>
          <w:bCs w:val="0"/>
        </w:rPr>
        <w:fldChar w:fldCharType="separate"/>
      </w:r>
      <w:hyperlink w:anchor="_Toc153806381" w:history="1">
        <w:r w:rsidR="00997321" w:rsidRPr="004F783C">
          <w:rPr>
            <w:rStyle w:val="af4"/>
          </w:rPr>
          <w:t>1.</w:t>
        </w:r>
        <w:r w:rsidR="00997321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="00997321" w:rsidRPr="004F783C">
          <w:rPr>
            <w:rStyle w:val="af4"/>
          </w:rPr>
          <w:t>ОБЩИЕ ПОЛОЖЕНИЯ</w:t>
        </w:r>
        <w:r w:rsidR="00997321">
          <w:rPr>
            <w:webHidden/>
          </w:rPr>
          <w:tab/>
        </w:r>
        <w:r w:rsidR="00997321">
          <w:rPr>
            <w:webHidden/>
          </w:rPr>
          <w:fldChar w:fldCharType="begin"/>
        </w:r>
        <w:r w:rsidR="00997321">
          <w:rPr>
            <w:webHidden/>
          </w:rPr>
          <w:instrText xml:space="preserve"> PAGEREF _Toc153806381 \h </w:instrText>
        </w:r>
        <w:r w:rsidR="00997321">
          <w:rPr>
            <w:webHidden/>
          </w:rPr>
        </w:r>
        <w:r w:rsidR="00997321">
          <w:rPr>
            <w:webHidden/>
          </w:rPr>
          <w:fldChar w:fldCharType="separate"/>
        </w:r>
        <w:r w:rsidR="00997321">
          <w:rPr>
            <w:webHidden/>
          </w:rPr>
          <w:t>2</w:t>
        </w:r>
        <w:r w:rsidR="00997321">
          <w:rPr>
            <w:webHidden/>
          </w:rPr>
          <w:fldChar w:fldCharType="end"/>
        </w:r>
      </w:hyperlink>
    </w:p>
    <w:p w14:paraId="45CC696D" w14:textId="4A65DE68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82" w:history="1">
        <w:r w:rsidRPr="004F783C">
          <w:rPr>
            <w:rStyle w:val="af4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ОБЩЕЕ ОПИСАНИЕ ВЗАИМОДЕЙСТВИЯ СТОРОН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DF54D18" w14:textId="5E25BC53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83" w:history="1">
        <w:r w:rsidRPr="004F783C">
          <w:rPr>
            <w:rStyle w:val="af4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Компрометация КлючА ЭП (Ключей аутентификации)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69B6B08" w14:textId="386ED74E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84" w:history="1">
        <w:r w:rsidRPr="004F783C">
          <w:rPr>
            <w:rStyle w:val="af4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ПРАВА И ОБЯЗАННОСТИ СТОРОН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365FF87" w14:textId="552F5927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85" w:history="1">
        <w:r w:rsidRPr="004F783C">
          <w:rPr>
            <w:rStyle w:val="af4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СТОИМОСТЬ УСЛУГ И ПОРЯДОК ОПЛАТЫ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B08ADEB" w14:textId="3EBB692B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86" w:history="1">
        <w:r w:rsidRPr="004F783C">
          <w:rPr>
            <w:rStyle w:val="af4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ОТВЕТСТВЕННОСТЬ СТОРОН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704DBFA" w14:textId="3282E4F4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87" w:history="1">
        <w:r w:rsidRPr="004F783C">
          <w:rPr>
            <w:rStyle w:val="af4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ПРОЦЕДУРА РАЗРЕШЕНИЯ СПОРОВ И РАЗНОГЛАСИЙ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077C3DC" w14:textId="5E298095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88" w:history="1">
        <w:r w:rsidRPr="004F783C">
          <w:rPr>
            <w:rStyle w:val="af4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ВНЕСЕНИЕ ИЗМЕНЕНИЙ В ПОРЯДОК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DA1B80C" w14:textId="46991E43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89" w:history="1">
        <w:r w:rsidRPr="004F783C">
          <w:rPr>
            <w:rStyle w:val="af4"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ПРИОСТАНОВКА/ПРЕКРАЩЕНИЕ ДЕЙСТВИЯ НАСТОЯЩЕГО ПОРЯДКА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01E7821" w14:textId="40BB344C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90" w:history="1">
        <w:r w:rsidRPr="004F783C">
          <w:rPr>
            <w:rStyle w:val="af4"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ПРОЧИЕ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0BF366AE" w14:textId="34AD9A1D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91" w:history="1">
        <w:r w:rsidRPr="004F783C">
          <w:rPr>
            <w:rStyle w:val="af4"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ТЕХНИЧЕСКИЕ ХАРАКТЕРИСТИКИ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3B6C8C7" w14:textId="51B4DDF9" w:rsidR="00997321" w:rsidRDefault="00997321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2"/>
          <w:szCs w:val="22"/>
          <w:lang w:val="ru-RU"/>
          <w14:ligatures w14:val="standardContextual"/>
        </w:rPr>
      </w:pPr>
      <w:hyperlink w:anchor="_Toc153806392" w:history="1">
        <w:r w:rsidRPr="004F783C">
          <w:rPr>
            <w:rStyle w:val="af4"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2"/>
            <w:szCs w:val="22"/>
            <w:lang w:val="ru-RU"/>
            <w14:ligatures w14:val="standardContextual"/>
          </w:rPr>
          <w:tab/>
        </w:r>
        <w:r w:rsidRPr="004F783C">
          <w:rPr>
            <w:rStyle w:val="af4"/>
          </w:rPr>
          <w:t>Заключительные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_Toc153806392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774F772" w14:textId="66412A2C" w:rsidR="007D0C8C" w:rsidRPr="00B25B83" w:rsidRDefault="007D0C8C" w:rsidP="00C11CA5">
      <w:pPr>
        <w:pStyle w:val="-0"/>
      </w:pPr>
      <w:r w:rsidRPr="00B25B83">
        <w:fldChar w:fldCharType="end"/>
      </w:r>
    </w:p>
    <w:p w14:paraId="5A0C19F0" w14:textId="77777777" w:rsidR="00B25B83" w:rsidRPr="00B25B83" w:rsidRDefault="00B25B83" w:rsidP="00C11CA5">
      <w:pPr>
        <w:pStyle w:val="-0"/>
      </w:pPr>
    </w:p>
    <w:p w14:paraId="074B039C" w14:textId="77777777" w:rsidR="00B25B83" w:rsidRPr="00B25B83" w:rsidRDefault="00B25B83" w:rsidP="00C11CA5">
      <w:pPr>
        <w:pStyle w:val="-0"/>
      </w:pPr>
    </w:p>
    <w:p w14:paraId="2BBD9168" w14:textId="77777777" w:rsidR="00B25B83" w:rsidRPr="00B25B83" w:rsidRDefault="00B25B83" w:rsidP="00C11CA5">
      <w:pPr>
        <w:pStyle w:val="-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7C14A2" w:rsidRPr="00B25B83" w14:paraId="07A97929" w14:textId="77777777" w:rsidTr="009F1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C2C1" w14:textId="199D0FE3" w:rsidR="007C14A2" w:rsidRPr="001437E5" w:rsidRDefault="007C14A2" w:rsidP="00C11CA5">
            <w:pPr>
              <w:pStyle w:val="-0"/>
              <w:rPr>
                <w:rStyle w:val="af4"/>
                <w:color w:val="auto"/>
                <w:u w:val="none"/>
              </w:rPr>
            </w:pPr>
            <w:r w:rsidRPr="00B25B83">
              <w:rPr>
                <w:rStyle w:val="af4"/>
                <w:color w:val="auto"/>
                <w:u w:val="none"/>
              </w:rPr>
              <w:t>Приложение №1</w:t>
            </w:r>
            <w:r w:rsidR="001437E5">
              <w:rPr>
                <w:rStyle w:val="af4"/>
                <w:color w:val="auto"/>
                <w:u w:val="none"/>
                <w:lang w:val="en-US"/>
              </w:rPr>
              <w:t>4</w:t>
            </w:r>
            <w:r w:rsidR="001437E5">
              <w:rPr>
                <w:rStyle w:val="af4"/>
                <w:color w:val="auto"/>
                <w:u w:val="none"/>
              </w:rPr>
              <w:t>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46FF" w14:textId="77777777" w:rsidR="007C14A2" w:rsidRPr="00B25B83" w:rsidRDefault="007C14A2" w:rsidP="00EA53FD">
            <w:pPr>
              <w:pStyle w:val="-0"/>
              <w:rPr>
                <w:rStyle w:val="af4"/>
                <w:color w:val="auto"/>
                <w:u w:val="none"/>
              </w:rPr>
            </w:pPr>
            <w:r w:rsidRPr="00B25B83">
              <w:t>Заявка на использование/отказ от использования ИТС QUIK</w:t>
            </w:r>
          </w:p>
        </w:tc>
      </w:tr>
      <w:tr w:rsidR="007C14A2" w:rsidRPr="00B25B83" w14:paraId="6CC43731" w14:textId="77777777" w:rsidTr="009F1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EB1A" w14:textId="2D6A135F" w:rsidR="007C14A2" w:rsidRPr="001437E5" w:rsidRDefault="007C14A2" w:rsidP="00C11CA5">
            <w:pPr>
              <w:pStyle w:val="-0"/>
              <w:rPr>
                <w:rStyle w:val="af4"/>
                <w:color w:val="auto"/>
                <w:u w:val="none"/>
              </w:rPr>
            </w:pPr>
            <w:r w:rsidRPr="00B25B83">
              <w:rPr>
                <w:rStyle w:val="af4"/>
                <w:color w:val="auto"/>
                <w:u w:val="none"/>
              </w:rPr>
              <w:t>Приложение №</w:t>
            </w:r>
            <w:r w:rsidR="001437E5">
              <w:rPr>
                <w:rStyle w:val="af4"/>
                <w:color w:val="auto"/>
                <w:u w:val="none"/>
                <w:lang w:val="en-US"/>
              </w:rPr>
              <w:t>14</w:t>
            </w:r>
            <w:r w:rsidR="001437E5">
              <w:rPr>
                <w:rStyle w:val="af4"/>
                <w:color w:val="auto"/>
                <w:u w:val="none"/>
              </w:rPr>
              <w:t>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1598" w14:textId="77777777" w:rsidR="007C14A2" w:rsidRPr="00B25B83" w:rsidRDefault="007C14A2" w:rsidP="00C11CA5">
            <w:pPr>
              <w:pStyle w:val="-0"/>
            </w:pPr>
            <w:r w:rsidRPr="00B25B83">
              <w:t xml:space="preserve">Акт приема-передачи Ключей </w:t>
            </w:r>
            <w:r w:rsidR="00E62593" w:rsidRPr="00B25B83">
              <w:t>аутентификации</w:t>
            </w:r>
          </w:p>
        </w:tc>
      </w:tr>
      <w:tr w:rsidR="007C14A2" w:rsidRPr="00B25B83" w14:paraId="50BB42B7" w14:textId="77777777" w:rsidTr="009F1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DFF2" w14:textId="4C416336" w:rsidR="007C14A2" w:rsidRPr="00B25B83" w:rsidRDefault="007C14A2" w:rsidP="00C11CA5">
            <w:pPr>
              <w:pStyle w:val="-0"/>
              <w:rPr>
                <w:rStyle w:val="af4"/>
                <w:color w:val="auto"/>
                <w:u w:val="none"/>
              </w:rPr>
            </w:pPr>
            <w:r w:rsidRPr="00B25B83">
              <w:rPr>
                <w:rStyle w:val="af4"/>
                <w:color w:val="auto"/>
                <w:u w:val="none"/>
              </w:rPr>
              <w:t>Приложение №</w:t>
            </w:r>
            <w:r w:rsidR="001437E5">
              <w:rPr>
                <w:rStyle w:val="af4"/>
                <w:color w:val="auto"/>
                <w:u w:val="none"/>
              </w:rPr>
              <w:t>14в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F8D1" w14:textId="77777777" w:rsidR="007C14A2" w:rsidRPr="00B25B83" w:rsidRDefault="007C14A2" w:rsidP="00C11CA5">
            <w:pPr>
              <w:pStyle w:val="-0"/>
            </w:pPr>
            <w:r w:rsidRPr="00B25B83">
              <w:t>Заявление на аннулирование (отзыв) Открытого ключа (pubring)</w:t>
            </w:r>
            <w:r w:rsidR="00E076FC" w:rsidRPr="00B25B83">
              <w:t xml:space="preserve"> Простой ЭП</w:t>
            </w:r>
          </w:p>
        </w:tc>
      </w:tr>
      <w:tr w:rsidR="008C7AF3" w:rsidRPr="00B25B83" w14:paraId="7A76B8BA" w14:textId="77777777" w:rsidTr="00B25B83">
        <w:trPr>
          <w:trHeight w:val="7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AF72" w14:textId="25526DDE" w:rsidR="008C7AF3" w:rsidRPr="00B25B83" w:rsidRDefault="008C7AF3" w:rsidP="00C11CA5">
            <w:pPr>
              <w:pStyle w:val="-0"/>
              <w:rPr>
                <w:rStyle w:val="af4"/>
                <w:color w:val="auto"/>
                <w:u w:val="none"/>
              </w:rPr>
            </w:pPr>
            <w:r w:rsidRPr="00B25B83">
              <w:rPr>
                <w:rStyle w:val="af4"/>
                <w:color w:val="auto"/>
                <w:u w:val="none"/>
              </w:rPr>
              <w:t>Приложение №</w:t>
            </w:r>
            <w:r w:rsidR="001437E5">
              <w:rPr>
                <w:rStyle w:val="af4"/>
                <w:color w:val="auto"/>
                <w:u w:val="none"/>
              </w:rPr>
              <w:t>14г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BD8" w14:textId="3AAD9E2A" w:rsidR="008C7AF3" w:rsidRPr="00B25B83" w:rsidRDefault="00B25B83" w:rsidP="00C11CA5">
            <w:pPr>
              <w:pStyle w:val="-0"/>
            </w:pPr>
            <w:r w:rsidRPr="00B25B83">
              <w:t>Порядок получения и замены Простой</w:t>
            </w:r>
            <w:r w:rsidRPr="00B25B83">
              <w:rPr>
                <w:u w:val="single"/>
              </w:rPr>
              <w:t xml:space="preserve"> </w:t>
            </w:r>
            <w:r w:rsidRPr="00B25B83">
              <w:t>Электронной подписи для использования информационно-торговой системы QUIK</w:t>
            </w:r>
          </w:p>
        </w:tc>
      </w:tr>
    </w:tbl>
    <w:p w14:paraId="332CE0E1" w14:textId="77777777" w:rsidR="00B25B83" w:rsidRPr="00B25B83" w:rsidRDefault="00B25B83" w:rsidP="00B25B83">
      <w:pPr>
        <w:pStyle w:val="1"/>
        <w:numPr>
          <w:ilvl w:val="0"/>
          <w:numId w:val="0"/>
        </w:numPr>
        <w:ind w:left="540"/>
        <w:jc w:val="both"/>
        <w:rPr>
          <w:sz w:val="24"/>
          <w:szCs w:val="24"/>
        </w:rPr>
      </w:pPr>
    </w:p>
    <w:p w14:paraId="4040BDCF" w14:textId="77777777" w:rsidR="00B25B83" w:rsidRPr="00B25B83" w:rsidRDefault="00B25B83" w:rsidP="00B25B83"/>
    <w:p w14:paraId="3B5C5D00" w14:textId="77777777" w:rsidR="00B25B83" w:rsidRPr="00B25B83" w:rsidRDefault="00B25B83" w:rsidP="00B25B83"/>
    <w:p w14:paraId="04253BD6" w14:textId="77777777" w:rsidR="00B25B83" w:rsidRPr="00B25B83" w:rsidRDefault="00B25B83" w:rsidP="00B25B83"/>
    <w:p w14:paraId="62331C15" w14:textId="77777777" w:rsidR="00B25B83" w:rsidRPr="00B25B83" w:rsidRDefault="00B25B83" w:rsidP="00B25B83"/>
    <w:p w14:paraId="3AFB49B0" w14:textId="324CABB0" w:rsidR="007D0C8C" w:rsidRPr="00B25B83" w:rsidRDefault="00C11CA5" w:rsidP="00B25B83">
      <w:pPr>
        <w:pStyle w:val="1"/>
        <w:numPr>
          <w:ilvl w:val="0"/>
          <w:numId w:val="15"/>
        </w:numPr>
        <w:rPr>
          <w:sz w:val="24"/>
          <w:szCs w:val="24"/>
        </w:rPr>
      </w:pPr>
      <w:bookmarkStart w:id="0" w:name="_Toc153806381"/>
      <w:r w:rsidRPr="00B25B83">
        <w:rPr>
          <w:sz w:val="24"/>
          <w:szCs w:val="24"/>
        </w:rPr>
        <w:lastRenderedPageBreak/>
        <w:t>О</w:t>
      </w:r>
      <w:r w:rsidR="007D0C8C" w:rsidRPr="00B25B83">
        <w:rPr>
          <w:sz w:val="24"/>
          <w:szCs w:val="24"/>
        </w:rPr>
        <w:t>БЩИЕ ПОЛОЖЕНИЯ</w:t>
      </w:r>
      <w:bookmarkEnd w:id="0"/>
    </w:p>
    <w:p w14:paraId="5546AB4B" w14:textId="77777777" w:rsidR="007D0C8C" w:rsidRPr="00B25B83" w:rsidRDefault="007D0C8C" w:rsidP="007A53FC">
      <w:pPr>
        <w:pStyle w:val="2"/>
      </w:pPr>
      <w:r w:rsidRPr="00B25B83">
        <w:t>Область применения</w:t>
      </w:r>
    </w:p>
    <w:p w14:paraId="13264B98" w14:textId="77777777" w:rsidR="007D0C8C" w:rsidRPr="00B25B83" w:rsidRDefault="007D0C8C" w:rsidP="009C29ED">
      <w:pPr>
        <w:ind w:left="567"/>
      </w:pPr>
      <w:r w:rsidRPr="00B25B83">
        <w:t xml:space="preserve">Настоящий </w:t>
      </w:r>
      <w:r w:rsidR="00544E58" w:rsidRPr="00B25B83">
        <w:t>Порядок обмена сообщениями и обеспечения технического доступа к информационно-торговой системе QUIK (далее – Порядок)</w:t>
      </w:r>
      <w:r w:rsidRPr="00B25B83">
        <w:t xml:space="preserve"> регулирует взаимоотношения </w:t>
      </w:r>
      <w:r w:rsidR="004C6D43" w:rsidRPr="00B25B83">
        <w:t xml:space="preserve">Клиента и Банка (далее совместно именуемые </w:t>
      </w:r>
      <w:r w:rsidRPr="00B25B83">
        <w:t>Сторон</w:t>
      </w:r>
      <w:r w:rsidR="004C6D43" w:rsidRPr="00B25B83">
        <w:t>ы)</w:t>
      </w:r>
      <w:r w:rsidRPr="00B25B83">
        <w:t xml:space="preserve"> при оказании Банком услуг:</w:t>
      </w:r>
    </w:p>
    <w:p w14:paraId="3F2EB68C" w14:textId="1F718735" w:rsidR="007D0C8C" w:rsidRPr="00B25B83" w:rsidRDefault="007D0C8C" w:rsidP="00195F2A">
      <w:pPr>
        <w:pStyle w:val="1-"/>
        <w:ind w:left="709"/>
      </w:pPr>
      <w:r w:rsidRPr="00B25B83">
        <w:t xml:space="preserve">по предоставлению Клиенту технического доступа </w:t>
      </w:r>
      <w:r w:rsidR="00642C14" w:rsidRPr="00B25B83">
        <w:t xml:space="preserve">к </w:t>
      </w:r>
      <w:r w:rsidRPr="00B25B83">
        <w:t>информационно-торгов</w:t>
      </w:r>
      <w:r w:rsidR="00E44F2E" w:rsidRPr="00B25B83">
        <w:t>ой</w:t>
      </w:r>
      <w:r w:rsidRPr="00B25B83">
        <w:t xml:space="preserve"> систем</w:t>
      </w:r>
      <w:r w:rsidR="00E44F2E" w:rsidRPr="00B25B83">
        <w:t>е</w:t>
      </w:r>
      <w:r w:rsidRPr="00B25B83">
        <w:t xml:space="preserve"> QUIK с использованием подключенного через канал связи</w:t>
      </w:r>
      <w:r w:rsidR="00F6087A" w:rsidRPr="00B25B83">
        <w:t xml:space="preserve"> (</w:t>
      </w:r>
      <w:r w:rsidR="00D944F6" w:rsidRPr="00B25B83">
        <w:t xml:space="preserve">посредством сети </w:t>
      </w:r>
      <w:r w:rsidR="00F6087A" w:rsidRPr="00B25B83">
        <w:t>Интернет)</w:t>
      </w:r>
      <w:r w:rsidRPr="00B25B83">
        <w:t xml:space="preserve"> Рабочего места Клиента, позволяющего Клиенту в режиме реального времени наблюдать за ходом торгов</w:t>
      </w:r>
      <w:r w:rsidR="00446B7B" w:rsidRPr="00B25B83">
        <w:t xml:space="preserve"> в ТС</w:t>
      </w:r>
      <w:r w:rsidR="006B5768" w:rsidRPr="00B25B83">
        <w:t>,</w:t>
      </w:r>
      <w:r w:rsidR="00446B7B" w:rsidRPr="00B25B83">
        <w:t xml:space="preserve"> а также </w:t>
      </w:r>
      <w:r w:rsidRPr="00B25B83">
        <w:t>передавать Банку Поручения</w:t>
      </w:r>
      <w:r w:rsidR="00D944F6" w:rsidRPr="00B25B83">
        <w:t xml:space="preserve"> и/или</w:t>
      </w:r>
      <w:r w:rsidR="001C3370" w:rsidRPr="00B25B83">
        <w:t xml:space="preserve"> </w:t>
      </w:r>
      <w:r w:rsidRPr="00B25B83">
        <w:t>осуществлять обмен</w:t>
      </w:r>
      <w:r w:rsidR="00AB3991" w:rsidRPr="00B25B83">
        <w:t xml:space="preserve"> с Банком</w:t>
      </w:r>
      <w:r w:rsidRPr="00B25B83">
        <w:t xml:space="preserve"> иными электронными документами и Сообщениями, действуя в рамках Соглашения </w:t>
      </w:r>
      <w:r w:rsidR="00EB4CBA" w:rsidRPr="00B25B83">
        <w:t>о</w:t>
      </w:r>
      <w:r w:rsidRPr="00B25B83">
        <w:t xml:space="preserve"> предоставлении </w:t>
      </w:r>
      <w:r w:rsidR="00827F8C" w:rsidRPr="00B25B83">
        <w:t>ООО КБ «ГТ банк</w:t>
      </w:r>
      <w:r w:rsidR="00E9638A" w:rsidRPr="00B25B83">
        <w:t xml:space="preserve">» </w:t>
      </w:r>
      <w:r w:rsidRPr="00B25B83">
        <w:t xml:space="preserve">услуг на </w:t>
      </w:r>
      <w:r w:rsidR="00560D6E" w:rsidRPr="00B25B83">
        <w:t>финансовых рынках</w:t>
      </w:r>
      <w:r w:rsidRPr="00B25B83">
        <w:t xml:space="preserve"> (далее – Соглашение), заключенного между Банком и Клиентом;</w:t>
      </w:r>
    </w:p>
    <w:p w14:paraId="7E1DF8C4" w14:textId="77777777" w:rsidR="007D0C8C" w:rsidRPr="00B25B83" w:rsidRDefault="007D0C8C" w:rsidP="00195F2A">
      <w:pPr>
        <w:pStyle w:val="1-"/>
        <w:ind w:left="709"/>
      </w:pPr>
      <w:r w:rsidRPr="00B25B83">
        <w:t>по предоставлению дополнительной информации посредством информационно-торгов</w:t>
      </w:r>
      <w:r w:rsidR="00E44F2E" w:rsidRPr="00B25B83">
        <w:t>ой</w:t>
      </w:r>
      <w:r w:rsidRPr="00B25B83">
        <w:t xml:space="preserve"> систем</w:t>
      </w:r>
      <w:r w:rsidR="00EE1400" w:rsidRPr="00B25B83">
        <w:t>ы</w:t>
      </w:r>
      <w:r w:rsidRPr="00B25B83">
        <w:t xml:space="preserve"> QUIK. Под дополнительной информацией для целей настоящего Порядка понимается предоставление Клиенту доступа к дополнительному массиву финансово-экономической информации справочного, аналитического и/или новостного характера</w:t>
      </w:r>
      <w:r w:rsidR="00EE1400" w:rsidRPr="00B25B83">
        <w:t>.</w:t>
      </w:r>
      <w:r w:rsidRPr="00B25B83">
        <w:t xml:space="preserve"> Предоставление дополнительной информации является вспомогательной услугой и отдельно от предоставления Клиентам технического доступа к информационно-торгов</w:t>
      </w:r>
      <w:r w:rsidR="00E44F2E" w:rsidRPr="00B25B83">
        <w:t>ой</w:t>
      </w:r>
      <w:r w:rsidRPr="00B25B83">
        <w:t xml:space="preserve"> систем</w:t>
      </w:r>
      <w:r w:rsidR="00E44F2E" w:rsidRPr="00B25B83">
        <w:t>е</w:t>
      </w:r>
      <w:r w:rsidRPr="00B25B83">
        <w:t xml:space="preserve"> QUIK не оказывается.</w:t>
      </w:r>
    </w:p>
    <w:p w14:paraId="5EDD6439" w14:textId="77777777" w:rsidR="003D6E27" w:rsidRPr="00B25B83" w:rsidRDefault="003D6E27" w:rsidP="00195F2A">
      <w:pPr>
        <w:pStyle w:val="1-"/>
        <w:numPr>
          <w:ilvl w:val="0"/>
          <w:numId w:val="0"/>
        </w:numPr>
        <w:ind w:left="993"/>
      </w:pPr>
    </w:p>
    <w:p w14:paraId="6E5AC3A2" w14:textId="77777777" w:rsidR="00855D02" w:rsidRPr="00B25B83" w:rsidRDefault="00BA41E6" w:rsidP="00195F2A">
      <w:pPr>
        <w:ind w:left="709" w:firstLine="578"/>
      </w:pPr>
      <w:r w:rsidRPr="00B25B83">
        <w:t xml:space="preserve">Указанные выше услуги являются дополнительными, связанными с оказанием </w:t>
      </w:r>
      <w:r w:rsidR="00551EC1" w:rsidRPr="00B25B83">
        <w:t xml:space="preserve">   </w:t>
      </w:r>
      <w:r w:rsidRPr="00B25B83">
        <w:t xml:space="preserve">Клиенту услуг по Соглашению, и отдельно от Соглашения не предоставляются. </w:t>
      </w:r>
    </w:p>
    <w:p w14:paraId="2B101165" w14:textId="77777777" w:rsidR="003D6E27" w:rsidRPr="00B25B83" w:rsidRDefault="003D6E27" w:rsidP="002312C0"/>
    <w:p w14:paraId="227806C4" w14:textId="77777777" w:rsidR="00BA41E6" w:rsidRPr="00B25B83" w:rsidRDefault="004B1245" w:rsidP="00195F2A">
      <w:pPr>
        <w:ind w:left="709" w:firstLine="578"/>
      </w:pPr>
      <w:r w:rsidRPr="00B25B83">
        <w:t>Указанные в настоящем порядке</w:t>
      </w:r>
      <w:r w:rsidR="00BA41E6" w:rsidRPr="00B25B83">
        <w:t xml:space="preserve"> услуги не являются обязательными</w:t>
      </w:r>
      <w:r w:rsidR="00FC72C8" w:rsidRPr="00B25B83">
        <w:t>,</w:t>
      </w:r>
      <w:r w:rsidR="00BA41E6" w:rsidRPr="00B25B83">
        <w:t xml:space="preserve"> и Клиент самостоятельно принимает решение о необходимости получения перечисленных услуг в рамках Соглашения путем направления </w:t>
      </w:r>
      <w:r w:rsidR="00B30E74" w:rsidRPr="00B25B83">
        <w:t xml:space="preserve">соответствующей заявки </w:t>
      </w:r>
      <w:r w:rsidR="00BA41E6" w:rsidRPr="00B25B83">
        <w:t xml:space="preserve">в Банк. </w:t>
      </w:r>
    </w:p>
    <w:p w14:paraId="71A85415" w14:textId="77777777" w:rsidR="00855D02" w:rsidRPr="00B25B83" w:rsidRDefault="00855D02" w:rsidP="002312C0"/>
    <w:p w14:paraId="03BEED40" w14:textId="77777777" w:rsidR="007D0C8C" w:rsidRPr="00B25B83" w:rsidRDefault="007D0C8C" w:rsidP="007A53FC">
      <w:pPr>
        <w:pStyle w:val="2"/>
      </w:pPr>
      <w:r w:rsidRPr="00B25B83">
        <w:t>Термины и определения</w:t>
      </w:r>
    </w:p>
    <w:p w14:paraId="4EA07363" w14:textId="77777777" w:rsidR="007D0C8C" w:rsidRPr="00B25B83" w:rsidRDefault="007D0C8C" w:rsidP="002312C0">
      <w:pPr>
        <w:rPr>
          <w:i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400"/>
      </w:tblGrid>
      <w:tr w:rsidR="007D0C8C" w:rsidRPr="00B25B83" w14:paraId="48D3F8C3" w14:textId="77777777" w:rsidTr="00997321">
        <w:trPr>
          <w:tblHeader/>
        </w:trPr>
        <w:tc>
          <w:tcPr>
            <w:tcW w:w="1956" w:type="dxa"/>
            <w:shd w:val="clear" w:color="auto" w:fill="F2F2F2"/>
          </w:tcPr>
          <w:p w14:paraId="7C776D36" w14:textId="77777777" w:rsidR="007D0C8C" w:rsidRPr="00B25B83" w:rsidRDefault="007D0C8C" w:rsidP="002312C0">
            <w:pPr>
              <w:ind w:firstLine="0"/>
              <w:jc w:val="center"/>
              <w:rPr>
                <w:snapToGrid w:val="0"/>
              </w:rPr>
            </w:pPr>
            <w:r w:rsidRPr="00B25B83">
              <w:t>Термин</w:t>
            </w:r>
          </w:p>
        </w:tc>
        <w:tc>
          <w:tcPr>
            <w:tcW w:w="7400" w:type="dxa"/>
            <w:shd w:val="clear" w:color="auto" w:fill="F2F2F2"/>
          </w:tcPr>
          <w:p w14:paraId="0CA59F11" w14:textId="77777777" w:rsidR="007D0C8C" w:rsidRPr="00B25B83" w:rsidRDefault="007D0C8C" w:rsidP="002312C0">
            <w:pPr>
              <w:ind w:firstLine="0"/>
              <w:jc w:val="center"/>
              <w:rPr>
                <w:b/>
                <w:snapToGrid w:val="0"/>
                <w:u w:val="single"/>
              </w:rPr>
            </w:pPr>
            <w:r w:rsidRPr="00B25B83">
              <w:t>Определение</w:t>
            </w:r>
          </w:p>
        </w:tc>
      </w:tr>
      <w:tr w:rsidR="007D0C8C" w:rsidRPr="00B25B83" w14:paraId="34AF6619" w14:textId="77777777" w:rsidTr="00997321">
        <w:tc>
          <w:tcPr>
            <w:tcW w:w="1956" w:type="dxa"/>
          </w:tcPr>
          <w:p w14:paraId="06FB236A" w14:textId="55EC9BAE" w:rsidR="007D0C8C" w:rsidRPr="00B25B83" w:rsidRDefault="001D5679" w:rsidP="005A5571">
            <w:pPr>
              <w:ind w:firstLine="0"/>
              <w:rPr>
                <w:b/>
              </w:rPr>
            </w:pPr>
            <w:proofErr w:type="spellStart"/>
            <w:r w:rsidRPr="00B25B83">
              <w:rPr>
                <w:b/>
              </w:rPr>
              <w:t>Администриро</w:t>
            </w:r>
            <w:r w:rsidR="008A218E">
              <w:rPr>
                <w:b/>
              </w:rPr>
              <w:t>-</w:t>
            </w:r>
            <w:r w:rsidRPr="00B25B83">
              <w:rPr>
                <w:b/>
              </w:rPr>
              <w:t>вание</w:t>
            </w:r>
            <w:proofErr w:type="spellEnd"/>
            <w:r w:rsidRPr="00B25B83">
              <w:rPr>
                <w:b/>
              </w:rPr>
              <w:t xml:space="preserve"> </w:t>
            </w:r>
            <w:r w:rsidR="003A784C" w:rsidRPr="00B25B83">
              <w:rPr>
                <w:b/>
              </w:rPr>
              <w:t>Л</w:t>
            </w:r>
            <w:r w:rsidRPr="00B25B83">
              <w:rPr>
                <w:b/>
              </w:rPr>
              <w:t>ицевого счета клиента</w:t>
            </w:r>
          </w:p>
        </w:tc>
        <w:tc>
          <w:tcPr>
            <w:tcW w:w="7400" w:type="dxa"/>
          </w:tcPr>
          <w:p w14:paraId="6B8A536D" w14:textId="674DDD2D" w:rsidR="007D0C8C" w:rsidRPr="00B25B83" w:rsidRDefault="001D5679">
            <w:pPr>
              <w:ind w:firstLine="0"/>
              <w:rPr>
                <w:b/>
                <w:u w:val="single"/>
              </w:rPr>
            </w:pPr>
            <w:r w:rsidRPr="00B25B83">
              <w:t xml:space="preserve">Внесение изменений в условия Соглашения о предоставлении </w:t>
            </w:r>
            <w:r w:rsidR="00827F8C" w:rsidRPr="00B25B83">
              <w:t>ООО КБ «ГТ банк</w:t>
            </w:r>
            <w:r w:rsidRPr="00B25B83">
              <w:t>» услуг на финансовых рынках в пределах, установленных Регламентом.</w:t>
            </w:r>
          </w:p>
        </w:tc>
      </w:tr>
      <w:tr w:rsidR="001D5679" w:rsidRPr="00B25B83" w14:paraId="394C22F4" w14:textId="77777777" w:rsidTr="00997321">
        <w:tc>
          <w:tcPr>
            <w:tcW w:w="1956" w:type="dxa"/>
          </w:tcPr>
          <w:p w14:paraId="47EC9D54" w14:textId="10A8AED0" w:rsidR="001D5679" w:rsidRPr="00B25B83" w:rsidRDefault="001D5679" w:rsidP="005A5571">
            <w:pPr>
              <w:ind w:firstLine="0"/>
              <w:rPr>
                <w:b/>
              </w:rPr>
            </w:pPr>
            <w:proofErr w:type="gramStart"/>
            <w:r w:rsidRPr="00B25B83">
              <w:rPr>
                <w:b/>
              </w:rPr>
              <w:t>Дистрибутив</w:t>
            </w:r>
            <w:r w:rsidR="00665FFC">
              <w:rPr>
                <w:b/>
              </w:rPr>
              <w:t>-</w:t>
            </w:r>
            <w:proofErr w:type="spellStart"/>
            <w:r w:rsidRPr="00B25B83">
              <w:rPr>
                <w:b/>
              </w:rPr>
              <w:t>ный</w:t>
            </w:r>
            <w:proofErr w:type="spellEnd"/>
            <w:proofErr w:type="gramEnd"/>
            <w:r w:rsidRPr="00B25B83">
              <w:rPr>
                <w:b/>
              </w:rPr>
              <w:t xml:space="preserve"> пакет</w:t>
            </w:r>
          </w:p>
        </w:tc>
        <w:tc>
          <w:tcPr>
            <w:tcW w:w="7400" w:type="dxa"/>
          </w:tcPr>
          <w:p w14:paraId="5B5C8DF5" w14:textId="77777777" w:rsidR="001D5679" w:rsidRPr="00B25B83" w:rsidRDefault="001D5679" w:rsidP="001D5679">
            <w:pPr>
              <w:ind w:firstLine="601"/>
            </w:pPr>
            <w:r w:rsidRPr="00B25B83">
              <w:t>Программное обеспечение, включающее в себя:</w:t>
            </w:r>
          </w:p>
          <w:p w14:paraId="08BEE62B" w14:textId="40DB7938" w:rsidR="001D5679" w:rsidRPr="00B25B83" w:rsidRDefault="001D5679" w:rsidP="001D5679">
            <w:pPr>
              <w:ind w:firstLine="0"/>
            </w:pPr>
            <w:r w:rsidRPr="00B25B83">
              <w:t xml:space="preserve">1) </w:t>
            </w:r>
            <w:r w:rsidR="0087717F" w:rsidRPr="00B25B83">
              <w:t xml:space="preserve">  </w:t>
            </w:r>
            <w:r w:rsidRPr="00B25B83">
              <w:t xml:space="preserve">базовое Рабочее место Клиента в ИТС </w:t>
            </w:r>
            <w:r w:rsidRPr="00B25B83">
              <w:rPr>
                <w:lang w:val="en-US"/>
              </w:rPr>
              <w:t>QUIK</w:t>
            </w:r>
            <w:r w:rsidRPr="00B25B83">
              <w:t xml:space="preserve">,   </w:t>
            </w:r>
          </w:p>
          <w:p w14:paraId="02063CB0" w14:textId="355E572B" w:rsidR="001D5679" w:rsidRPr="00B25B83" w:rsidRDefault="001D5679" w:rsidP="001D5679">
            <w:pPr>
              <w:ind w:firstLine="0"/>
            </w:pPr>
            <w:r w:rsidRPr="00B25B83">
              <w:t>2)</w:t>
            </w:r>
            <w:r w:rsidR="0087717F" w:rsidRPr="00B25B83">
              <w:t xml:space="preserve"> </w:t>
            </w:r>
            <w:proofErr w:type="spellStart"/>
            <w:r w:rsidRPr="00B25B83">
              <w:t>KeyGen</w:t>
            </w:r>
            <w:proofErr w:type="spellEnd"/>
            <w:r w:rsidRPr="00B25B83">
              <w:t xml:space="preserve"> (генератор RSA ключей) (программа создания Ключей аутентификации с использованием технологии «открытый/закрытый ключ»).</w:t>
            </w:r>
          </w:p>
          <w:p w14:paraId="4452D898" w14:textId="77777777" w:rsidR="001D5679" w:rsidRPr="00B25B83" w:rsidRDefault="001D5679" w:rsidP="001E549B">
            <w:pPr>
              <w:ind w:firstLine="601"/>
            </w:pPr>
          </w:p>
        </w:tc>
      </w:tr>
      <w:tr w:rsidR="007D0C8C" w:rsidRPr="00B25B83" w14:paraId="765D07E6" w14:textId="77777777" w:rsidTr="00997321">
        <w:tc>
          <w:tcPr>
            <w:tcW w:w="1956" w:type="dxa"/>
          </w:tcPr>
          <w:p w14:paraId="38E5AC0E" w14:textId="77777777" w:rsidR="007D0C8C" w:rsidRPr="00B25B83" w:rsidRDefault="007D0C8C" w:rsidP="002312C0">
            <w:pPr>
              <w:ind w:firstLine="0"/>
              <w:jc w:val="left"/>
              <w:rPr>
                <w:b/>
              </w:rPr>
            </w:pPr>
            <w:r w:rsidRPr="00B25B83">
              <w:rPr>
                <w:b/>
              </w:rPr>
              <w:t xml:space="preserve">Документация ИТС / Руководство пользователя </w:t>
            </w:r>
          </w:p>
        </w:tc>
        <w:tc>
          <w:tcPr>
            <w:tcW w:w="7400" w:type="dxa"/>
          </w:tcPr>
          <w:p w14:paraId="5E065E84" w14:textId="77777777" w:rsidR="007D0C8C" w:rsidRPr="00B25B83" w:rsidRDefault="00E44F2E" w:rsidP="002312C0">
            <w:pPr>
              <w:ind w:firstLine="0"/>
            </w:pPr>
            <w:r w:rsidRPr="00B25B83">
              <w:t>Описание набора функциональных возможностей, предоставляем</w:t>
            </w:r>
            <w:r w:rsidR="00420004" w:rsidRPr="00B25B83">
              <w:t>ых</w:t>
            </w:r>
            <w:r w:rsidRPr="00B25B83">
              <w:t xml:space="preserve"> ИТС</w:t>
            </w:r>
            <w:r w:rsidR="00E734FF" w:rsidRPr="00B25B83">
              <w:t xml:space="preserve"> </w:t>
            </w:r>
            <w:r w:rsidR="00E734FF" w:rsidRPr="00B25B83">
              <w:rPr>
                <w:lang w:val="en-US"/>
              </w:rPr>
              <w:t>QUIK</w:t>
            </w:r>
            <w:r w:rsidRPr="00B25B83">
              <w:t>, размещенное на сайте разработчика ИТС</w:t>
            </w:r>
            <w:r w:rsidR="00E734FF" w:rsidRPr="00B25B83">
              <w:t xml:space="preserve"> </w:t>
            </w:r>
            <w:r w:rsidR="00E734FF" w:rsidRPr="00B25B83">
              <w:rPr>
                <w:lang w:val="en-US"/>
              </w:rPr>
              <w:t>QUIK</w:t>
            </w:r>
            <w:r w:rsidRPr="00B25B83">
              <w:t>.</w:t>
            </w:r>
          </w:p>
          <w:p w14:paraId="3564C818" w14:textId="77777777" w:rsidR="008E0B9B" w:rsidRPr="00B25B83" w:rsidRDefault="00FC204D" w:rsidP="002312C0">
            <w:pPr>
              <w:ind w:firstLine="0"/>
            </w:pPr>
            <w:r w:rsidRPr="00B25B83">
              <w:t>Клиент обязан самостоятельно ознакомиться с Документацией ИТС</w:t>
            </w:r>
            <w:r w:rsidR="00E734FF" w:rsidRPr="00B25B83">
              <w:t xml:space="preserve"> </w:t>
            </w:r>
            <w:r w:rsidR="00E734FF" w:rsidRPr="00B25B83">
              <w:rPr>
                <w:lang w:val="en-US"/>
              </w:rPr>
              <w:t>QUIK</w:t>
            </w:r>
            <w:r w:rsidRPr="00B25B83">
              <w:t xml:space="preserve"> до начала использования </w:t>
            </w:r>
            <w:r w:rsidR="0078583A" w:rsidRPr="00B25B83">
              <w:t>ИТС</w:t>
            </w:r>
            <w:r w:rsidR="00E734FF" w:rsidRPr="00B25B83">
              <w:t xml:space="preserve"> </w:t>
            </w:r>
            <w:r w:rsidR="00E734FF" w:rsidRPr="00B25B83">
              <w:rPr>
                <w:lang w:val="en-US"/>
              </w:rPr>
              <w:t>QUIK</w:t>
            </w:r>
            <w:r w:rsidR="0078583A" w:rsidRPr="00B25B83">
              <w:t>, а также периодически отслеживать изменения, внесенные в Документацию ИТС</w:t>
            </w:r>
            <w:r w:rsidR="00E734FF" w:rsidRPr="00B25B83">
              <w:rPr>
                <w:lang w:val="en-US"/>
              </w:rPr>
              <w:t xml:space="preserve"> QUIK</w:t>
            </w:r>
            <w:r w:rsidR="0078583A" w:rsidRPr="00B25B83">
              <w:t xml:space="preserve">, в течение срока действия Соглашения. </w:t>
            </w:r>
          </w:p>
        </w:tc>
      </w:tr>
      <w:tr w:rsidR="004F6C6E" w:rsidRPr="00B25B83" w14:paraId="456455C6" w14:textId="77777777" w:rsidTr="00997321">
        <w:tc>
          <w:tcPr>
            <w:tcW w:w="1956" w:type="dxa"/>
          </w:tcPr>
          <w:p w14:paraId="6A04F1D2" w14:textId="77777777" w:rsidR="004F6C6E" w:rsidRPr="00B25B83" w:rsidRDefault="004F6C6E" w:rsidP="002312C0">
            <w:pPr>
              <w:ind w:firstLine="0"/>
              <w:jc w:val="left"/>
              <w:rPr>
                <w:b/>
              </w:rPr>
            </w:pPr>
            <w:r w:rsidRPr="00B25B83">
              <w:rPr>
                <w:b/>
              </w:rPr>
              <w:t>Заявление</w:t>
            </w:r>
          </w:p>
        </w:tc>
        <w:tc>
          <w:tcPr>
            <w:tcW w:w="7400" w:type="dxa"/>
          </w:tcPr>
          <w:p w14:paraId="5ABDFB73" w14:textId="77777777" w:rsidR="004F6C6E" w:rsidRPr="00B25B83" w:rsidRDefault="004F6C6E" w:rsidP="002312C0">
            <w:pPr>
              <w:ind w:firstLine="0"/>
            </w:pPr>
            <w:r w:rsidRPr="00B25B83">
              <w:t xml:space="preserve">Для целей настоящего Порядка любое Заявление, предусмотренное </w:t>
            </w:r>
            <w:r w:rsidRPr="00B25B83">
              <w:lastRenderedPageBreak/>
              <w:t>Регламентом и передаваемое Клиентом в Банк посредством ИТС QUIK</w:t>
            </w:r>
          </w:p>
        </w:tc>
      </w:tr>
      <w:tr w:rsidR="00993F1D" w:rsidRPr="00B25B83" w14:paraId="43B98EB1" w14:textId="77777777" w:rsidTr="00997321">
        <w:tc>
          <w:tcPr>
            <w:tcW w:w="1956" w:type="dxa"/>
          </w:tcPr>
          <w:p w14:paraId="353B7575" w14:textId="711D378D" w:rsidR="00993F1D" w:rsidRPr="00B25B83" w:rsidRDefault="00993F1D" w:rsidP="002312C0">
            <w:pPr>
              <w:ind w:firstLine="0"/>
            </w:pPr>
            <w:r w:rsidRPr="00B25B83">
              <w:rPr>
                <w:b/>
              </w:rPr>
              <w:lastRenderedPageBreak/>
              <w:t>Информацион</w:t>
            </w:r>
            <w:r w:rsidR="008A218E">
              <w:rPr>
                <w:b/>
              </w:rPr>
              <w:t xml:space="preserve">- </w:t>
            </w:r>
            <w:r w:rsidRPr="00B25B83">
              <w:rPr>
                <w:b/>
              </w:rPr>
              <w:t xml:space="preserve">но-торговая система </w:t>
            </w:r>
            <w:r w:rsidR="00500ED6" w:rsidRPr="00B25B83">
              <w:rPr>
                <w:b/>
              </w:rPr>
              <w:t xml:space="preserve">QUIK </w:t>
            </w:r>
            <w:r w:rsidRPr="00B25B83">
              <w:rPr>
                <w:b/>
              </w:rPr>
              <w:t>(ИТС</w:t>
            </w:r>
            <w:r w:rsidR="00182EF5" w:rsidRPr="00B25B83">
              <w:rPr>
                <w:b/>
              </w:rPr>
              <w:t xml:space="preserve"> QUIK</w:t>
            </w:r>
            <w:r w:rsidRPr="00B25B83">
              <w:rPr>
                <w:b/>
              </w:rPr>
              <w:t>)</w:t>
            </w:r>
          </w:p>
        </w:tc>
        <w:tc>
          <w:tcPr>
            <w:tcW w:w="7400" w:type="dxa"/>
          </w:tcPr>
          <w:p w14:paraId="4515CBE4" w14:textId="77777777" w:rsidR="004F6C6E" w:rsidRPr="00B25B83" w:rsidRDefault="004F6C6E" w:rsidP="004F6C6E">
            <w:pPr>
              <w:ind w:firstLine="0"/>
            </w:pPr>
            <w:r w:rsidRPr="00B25B83">
              <w:t xml:space="preserve"> Совокупность программных средств, позволяющих Клиенту в режиме реального времени через сеть Интернет наблюдать за ходом торгов в Торговой системе, подавать Банку Поручения Клиента, Сообщения (в том числе, Заявления и т.д.), получать от Банка Сообщения информационного и уведомительного характера.</w:t>
            </w:r>
          </w:p>
          <w:p w14:paraId="703BC11E" w14:textId="3EC61D9B" w:rsidR="004F6C6E" w:rsidRPr="00B25B83" w:rsidRDefault="004F6C6E" w:rsidP="004F6C6E">
            <w:r w:rsidRPr="00B25B83">
              <w:t xml:space="preserve"> В качестве информационно-торговой системы Банк применяет многофункциональную информационно-торговую систему «QUIK» ЗАО «АРКА Текнолоджиз»:</w:t>
            </w:r>
          </w:p>
          <w:p w14:paraId="7406CB7E" w14:textId="77777777" w:rsidR="00B0252E" w:rsidRPr="00B25B83" w:rsidRDefault="004F6C6E" w:rsidP="007A53FC">
            <w:pPr>
              <w:pStyle w:val="2"/>
              <w:numPr>
                <w:ilvl w:val="0"/>
                <w:numId w:val="0"/>
              </w:numPr>
            </w:pPr>
            <w:r w:rsidRPr="00B25B83">
              <w:rPr>
                <w:lang w:eastAsia="en-US"/>
              </w:rPr>
              <w:t>с интегрированной библиотекой Криптографических ключей ЗАО «АРКА Текнолоджиз» (Простая ЭП)</w:t>
            </w:r>
            <w:r w:rsidR="007B2A67" w:rsidRPr="00B25B83">
              <w:t>.</w:t>
            </w:r>
            <w:r w:rsidR="00B0252E" w:rsidRPr="00B25B83">
              <w:t xml:space="preserve"> </w:t>
            </w:r>
          </w:p>
        </w:tc>
      </w:tr>
      <w:tr w:rsidR="004630A3" w:rsidRPr="00B25B83" w14:paraId="4D73F3D7" w14:textId="77777777" w:rsidTr="00997321">
        <w:tc>
          <w:tcPr>
            <w:tcW w:w="1956" w:type="dxa"/>
          </w:tcPr>
          <w:p w14:paraId="0DF2EF7F" w14:textId="77777777" w:rsidR="004630A3" w:rsidRPr="00B25B83" w:rsidRDefault="004630A3" w:rsidP="004630A3">
            <w:pPr>
              <w:widowControl/>
              <w:autoSpaceDE/>
              <w:autoSpaceDN/>
              <w:ind w:firstLine="0"/>
              <w:jc w:val="left"/>
              <w:rPr>
                <w:b/>
                <w:snapToGrid w:val="0"/>
              </w:rPr>
            </w:pPr>
          </w:p>
          <w:p w14:paraId="3BDA8A58" w14:textId="77777777" w:rsidR="004630A3" w:rsidRPr="00B25B83" w:rsidRDefault="004630A3" w:rsidP="004630A3">
            <w:pPr>
              <w:widowControl/>
              <w:autoSpaceDE/>
              <w:autoSpaceDN/>
              <w:ind w:firstLine="0"/>
              <w:jc w:val="left"/>
              <w:rPr>
                <w:b/>
                <w:snapToGrid w:val="0"/>
              </w:rPr>
            </w:pPr>
            <w:r w:rsidRPr="00B25B83">
              <w:rPr>
                <w:b/>
                <w:snapToGrid w:val="0"/>
              </w:rPr>
              <w:t>Ключ ЭП</w:t>
            </w:r>
          </w:p>
        </w:tc>
        <w:tc>
          <w:tcPr>
            <w:tcW w:w="7400" w:type="dxa"/>
          </w:tcPr>
          <w:p w14:paraId="6C45D11B" w14:textId="4B8DB4D1" w:rsidR="004630A3" w:rsidRPr="00665FFC" w:rsidRDefault="004630A3" w:rsidP="007A53FC">
            <w:pPr>
              <w:pStyle w:val="23"/>
              <w:ind w:firstLine="0"/>
              <w:rPr>
                <w:b w:val="0"/>
                <w:bCs w:val="0"/>
              </w:rPr>
            </w:pPr>
            <w:r w:rsidRPr="00665FFC">
              <w:rPr>
                <w:b w:val="0"/>
                <w:bCs w:val="0"/>
              </w:rPr>
              <w:t>Уникальная последовательность символов Закрытого (secring) и Открытого (pubring) ключей, принадлежащих Клиенту и предназначенных для идентификации (аутентификации) Клиента, а также для защиты передаваемых между Клиентом и Банком данных, известная только владельцу. Используется только применительно к Простой ЭП.</w:t>
            </w:r>
          </w:p>
        </w:tc>
      </w:tr>
      <w:tr w:rsidR="004630A3" w:rsidRPr="00B25B83" w14:paraId="2C5722D6" w14:textId="77777777" w:rsidTr="00997321">
        <w:tc>
          <w:tcPr>
            <w:tcW w:w="1956" w:type="dxa"/>
          </w:tcPr>
          <w:p w14:paraId="745E62D5" w14:textId="3A02CACD" w:rsidR="004630A3" w:rsidRPr="00B25B83" w:rsidRDefault="004630A3" w:rsidP="004630A3">
            <w:pPr>
              <w:ind w:firstLine="0"/>
              <w:rPr>
                <w:b/>
                <w:snapToGrid w:val="0"/>
              </w:rPr>
            </w:pPr>
            <w:r w:rsidRPr="00B25B83">
              <w:rPr>
                <w:b/>
                <w:snapToGrid w:val="0"/>
              </w:rPr>
              <w:t>Компромета</w:t>
            </w:r>
            <w:r w:rsidR="008A218E">
              <w:rPr>
                <w:b/>
                <w:snapToGrid w:val="0"/>
              </w:rPr>
              <w:t xml:space="preserve">- </w:t>
            </w:r>
            <w:r w:rsidRPr="00B25B83">
              <w:rPr>
                <w:b/>
                <w:snapToGrid w:val="0"/>
              </w:rPr>
              <w:t>ция (Компромета</w:t>
            </w:r>
            <w:r w:rsidR="008A218E">
              <w:rPr>
                <w:b/>
                <w:snapToGrid w:val="0"/>
              </w:rPr>
              <w:t xml:space="preserve">- </w:t>
            </w:r>
            <w:r w:rsidRPr="00B25B83">
              <w:rPr>
                <w:b/>
                <w:snapToGrid w:val="0"/>
              </w:rPr>
              <w:t>ция Ключа ЭП или Ключей аутентифика</w:t>
            </w:r>
            <w:r w:rsidR="008A218E">
              <w:rPr>
                <w:b/>
                <w:snapToGrid w:val="0"/>
              </w:rPr>
              <w:t>-</w:t>
            </w:r>
            <w:r w:rsidRPr="00B25B83">
              <w:rPr>
                <w:b/>
                <w:snapToGrid w:val="0"/>
              </w:rPr>
              <w:t>ции, Логина и Пароля)</w:t>
            </w:r>
          </w:p>
        </w:tc>
        <w:tc>
          <w:tcPr>
            <w:tcW w:w="7400" w:type="dxa"/>
          </w:tcPr>
          <w:p w14:paraId="64027C83" w14:textId="0D5BE156" w:rsidR="004630A3" w:rsidRPr="00B25B83" w:rsidRDefault="004630A3" w:rsidP="00600D06">
            <w:pPr>
              <w:numPr>
                <w:ilvl w:val="0"/>
                <w:numId w:val="11"/>
              </w:numPr>
              <w:ind w:left="34" w:firstLine="0"/>
            </w:pPr>
            <w:r w:rsidRPr="00B25B83">
              <w:rPr>
                <w:kern w:val="0"/>
              </w:rPr>
              <w:t xml:space="preserve">Утрата доверия к тому, что используемые Логин, Пароль обеспечивают безопасность аутентификации  доступа Клиента в ИТС QUIK, в связи с тем, </w:t>
            </w:r>
            <w:r w:rsidR="0087717F" w:rsidRPr="00B25B83">
              <w:rPr>
                <w:kern w:val="0"/>
              </w:rPr>
              <w:t>что</w:t>
            </w:r>
            <w:r w:rsidRPr="00B25B83">
              <w:rPr>
                <w:kern w:val="0"/>
              </w:rPr>
              <w:t xml:space="preserve">, Логин и Пароль стал(и) (или мог(ли) стать) доступным неуполномоченным лицам, в том числе в результате утраты, хищения, несанкционированного копирования, а также прекращения полномочий лица, которому ранее на основании таких полномочий Логин и Пароль был(и) предоставлен(ы), </w:t>
            </w:r>
          </w:p>
          <w:p w14:paraId="4E6FA699" w14:textId="18E04B67" w:rsidR="004630A3" w:rsidRPr="00B25B83" w:rsidRDefault="004630A3" w:rsidP="00600D06">
            <w:pPr>
              <w:numPr>
                <w:ilvl w:val="0"/>
                <w:numId w:val="11"/>
              </w:numPr>
              <w:ind w:left="34" w:firstLine="0"/>
            </w:pPr>
            <w:r w:rsidRPr="00B25B83">
              <w:rPr>
                <w:kern w:val="0"/>
              </w:rPr>
              <w:t>констатация Сторонами или одной из Сторон обстоятельств, при которых возможно несанкционированное использование Логина и Пароля неуполномоченными лицами.</w:t>
            </w:r>
          </w:p>
        </w:tc>
      </w:tr>
      <w:tr w:rsidR="004630A3" w:rsidRPr="00B25B83" w14:paraId="42FD1B01" w14:textId="77777777" w:rsidTr="00997321">
        <w:tc>
          <w:tcPr>
            <w:tcW w:w="1956" w:type="dxa"/>
          </w:tcPr>
          <w:p w14:paraId="25E02AC2" w14:textId="7D5A2859" w:rsidR="004630A3" w:rsidRPr="00B25B83" w:rsidRDefault="004630A3" w:rsidP="004630A3">
            <w:pPr>
              <w:ind w:firstLine="0"/>
              <w:rPr>
                <w:b/>
                <w:snapToGrid w:val="0"/>
              </w:rPr>
            </w:pPr>
            <w:r w:rsidRPr="00B25B83">
              <w:rPr>
                <w:b/>
                <w:snapToGrid w:val="0"/>
              </w:rPr>
              <w:t>Криптографи</w:t>
            </w:r>
            <w:r w:rsidR="00C27533">
              <w:rPr>
                <w:b/>
                <w:snapToGrid w:val="0"/>
              </w:rPr>
              <w:t>-</w:t>
            </w:r>
            <w:r w:rsidRPr="00B25B83">
              <w:rPr>
                <w:b/>
                <w:snapToGrid w:val="0"/>
              </w:rPr>
              <w:t>ческий ключ (Ключи)</w:t>
            </w:r>
          </w:p>
        </w:tc>
        <w:tc>
          <w:tcPr>
            <w:tcW w:w="7400" w:type="dxa"/>
          </w:tcPr>
          <w:p w14:paraId="23D5251A" w14:textId="77777777" w:rsidR="004630A3" w:rsidRPr="00B25B83" w:rsidRDefault="004630A3" w:rsidP="004630A3">
            <w:pPr>
              <w:ind w:firstLine="0"/>
            </w:pPr>
            <w:r w:rsidRPr="00B25B83">
              <w:t>Совокупность Закрытого (secring) и Открытого (pubring) ключей, принадлежащих Клиенту и предназначенных для идентификации (аутентификации) Клиента, а также для защиты передаваемых между Клиентом и Банком данных.</w:t>
            </w:r>
          </w:p>
        </w:tc>
      </w:tr>
      <w:tr w:rsidR="004630A3" w:rsidRPr="00B25B83" w14:paraId="1DBE44F2" w14:textId="77777777" w:rsidTr="00997321">
        <w:tc>
          <w:tcPr>
            <w:tcW w:w="1956" w:type="dxa"/>
          </w:tcPr>
          <w:p w14:paraId="4DB576BD" w14:textId="5E9B8E68" w:rsidR="004630A3" w:rsidRPr="00B25B83" w:rsidRDefault="004630A3" w:rsidP="004630A3">
            <w:pPr>
              <w:ind w:firstLine="0"/>
              <w:rPr>
                <w:b/>
              </w:rPr>
            </w:pPr>
            <w:r w:rsidRPr="00B25B83">
              <w:rPr>
                <w:b/>
              </w:rPr>
              <w:t>Несанкционированный доступ</w:t>
            </w:r>
          </w:p>
        </w:tc>
        <w:tc>
          <w:tcPr>
            <w:tcW w:w="7400" w:type="dxa"/>
          </w:tcPr>
          <w:p w14:paraId="45991B6F" w14:textId="77777777" w:rsidR="004630A3" w:rsidRPr="00B25B83" w:rsidRDefault="004630A3" w:rsidP="004630A3">
            <w:pPr>
              <w:ind w:firstLine="0"/>
              <w:rPr>
                <w:b/>
                <w:u w:val="single"/>
              </w:rPr>
            </w:pPr>
            <w:r w:rsidRPr="00B25B83">
              <w:t xml:space="preserve">Доступ к информации или функциям ИТС </w:t>
            </w:r>
            <w:r w:rsidRPr="00B25B83">
              <w:rPr>
                <w:lang w:val="en-US"/>
              </w:rPr>
              <w:t>QUIK</w:t>
            </w:r>
            <w:r w:rsidRPr="00B25B83">
              <w:t xml:space="preserve"> лицами, не имеющими на это полномочий, и/или в случае наступления события Компрометации.</w:t>
            </w:r>
          </w:p>
        </w:tc>
      </w:tr>
      <w:tr w:rsidR="004630A3" w:rsidRPr="00B25B83" w14:paraId="6F7D8297" w14:textId="77777777" w:rsidTr="00997321">
        <w:trPr>
          <w:trHeight w:val="1353"/>
        </w:trPr>
        <w:tc>
          <w:tcPr>
            <w:tcW w:w="1956" w:type="dxa"/>
          </w:tcPr>
          <w:p w14:paraId="2767C6AA" w14:textId="77777777" w:rsidR="004630A3" w:rsidRPr="00B25B83" w:rsidRDefault="004630A3" w:rsidP="004630A3">
            <w:pPr>
              <w:ind w:firstLine="0"/>
              <w:rPr>
                <w:b/>
              </w:rPr>
            </w:pPr>
            <w:r w:rsidRPr="00B25B83">
              <w:rPr>
                <w:b/>
                <w:snapToGrid w:val="0"/>
              </w:rPr>
              <w:t>Пароль</w:t>
            </w:r>
          </w:p>
        </w:tc>
        <w:tc>
          <w:tcPr>
            <w:tcW w:w="7400" w:type="dxa"/>
          </w:tcPr>
          <w:p w14:paraId="533D3DED" w14:textId="77777777" w:rsidR="004630A3" w:rsidRPr="00B25B83" w:rsidRDefault="004630A3" w:rsidP="004630A3">
            <w:pPr>
              <w:ind w:firstLine="0"/>
            </w:pPr>
            <w:r w:rsidRPr="00B25B83">
              <w:rPr>
                <w:bCs/>
              </w:rPr>
              <w:t xml:space="preserve">Последовательность символов, установленная Клиентом, которая служит средством защиты Закрытого ключа (secring) и используется для </w:t>
            </w:r>
            <w:r w:rsidRPr="00B25B83">
              <w:t>аутентификации</w:t>
            </w:r>
            <w:r w:rsidRPr="00B25B83">
              <w:rPr>
                <w:bCs/>
              </w:rPr>
              <w:t xml:space="preserve"> Клиента при подключении к ИТС QUIK в дополнение к Логину.</w:t>
            </w:r>
          </w:p>
        </w:tc>
      </w:tr>
      <w:tr w:rsidR="004630A3" w:rsidRPr="00B25B83" w14:paraId="0E7E77F8" w14:textId="77777777" w:rsidTr="00997321">
        <w:tc>
          <w:tcPr>
            <w:tcW w:w="1956" w:type="dxa"/>
          </w:tcPr>
          <w:p w14:paraId="3D07BE5C" w14:textId="77777777" w:rsidR="004630A3" w:rsidRPr="00B25B83" w:rsidRDefault="004630A3" w:rsidP="004630A3">
            <w:pPr>
              <w:ind w:firstLine="0"/>
              <w:rPr>
                <w:b/>
                <w:snapToGrid w:val="0"/>
              </w:rPr>
            </w:pPr>
            <w:r w:rsidRPr="00B25B83">
              <w:rPr>
                <w:b/>
                <w:snapToGrid w:val="0"/>
              </w:rPr>
              <w:t xml:space="preserve">Поручение Клиента </w:t>
            </w:r>
          </w:p>
        </w:tc>
        <w:tc>
          <w:tcPr>
            <w:tcW w:w="7400" w:type="dxa"/>
          </w:tcPr>
          <w:p w14:paraId="6D1EB1A7" w14:textId="77777777" w:rsidR="004630A3" w:rsidRPr="00B25B83" w:rsidRDefault="004630A3" w:rsidP="004630A3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Для целей настоящего Порядка нижеуказанные типы Поручений Клиента:</w:t>
            </w:r>
          </w:p>
          <w:p w14:paraId="4D923287" w14:textId="54E3C71C" w:rsidR="004630A3" w:rsidRPr="00B25B83" w:rsidRDefault="001437E5" w:rsidP="00FF7D3D">
            <w:pPr>
              <w:numPr>
                <w:ilvl w:val="0"/>
                <w:numId w:val="13"/>
              </w:numPr>
            </w:pPr>
            <w:r w:rsidRPr="00C36835">
              <w:rPr>
                <w:snapToGrid w:val="0"/>
              </w:rPr>
              <w:t>на совершение сделки с ценными бумагами</w:t>
            </w:r>
            <w:r w:rsidRPr="00B25B83">
              <w:t xml:space="preserve"> </w:t>
            </w:r>
            <w:r w:rsidR="00A43C3A" w:rsidRPr="00B25B83">
              <w:t>(Приложение №</w:t>
            </w:r>
            <w:r>
              <w:t>7</w:t>
            </w:r>
            <w:r w:rsidR="00A43C3A" w:rsidRPr="00B25B83">
              <w:t xml:space="preserve"> к Регламенту);</w:t>
            </w:r>
          </w:p>
          <w:p w14:paraId="7CA93D61" w14:textId="77777777" w:rsidR="00C10A06" w:rsidRPr="00B25B83" w:rsidRDefault="004630A3" w:rsidP="00FF7D3D">
            <w:pPr>
              <w:numPr>
                <w:ilvl w:val="0"/>
                <w:numId w:val="13"/>
              </w:numPr>
            </w:pPr>
            <w:r w:rsidRPr="00B25B83">
              <w:t xml:space="preserve">на Неторговые операции </w:t>
            </w:r>
            <w:r w:rsidR="00C10A06" w:rsidRPr="00B25B83">
              <w:t>по</w:t>
            </w:r>
            <w:r w:rsidRPr="00B25B83">
              <w:t xml:space="preserve"> перевод</w:t>
            </w:r>
            <w:r w:rsidR="00C10A06" w:rsidRPr="00B25B83">
              <w:t>у</w:t>
            </w:r>
            <w:r w:rsidRPr="00B25B83">
              <w:t xml:space="preserve"> денежных средств</w:t>
            </w:r>
            <w:r w:rsidR="00A43C3A" w:rsidRPr="00B25B83">
              <w:t>;</w:t>
            </w:r>
          </w:p>
          <w:p w14:paraId="03A4B85D" w14:textId="77777777" w:rsidR="0035721A" w:rsidRPr="00B25B83" w:rsidRDefault="00C10A06" w:rsidP="00FF7D3D">
            <w:pPr>
              <w:numPr>
                <w:ilvl w:val="0"/>
                <w:numId w:val="13"/>
              </w:numPr>
            </w:pPr>
            <w:r w:rsidRPr="00B25B83">
              <w:t>на Неторговые операции по</w:t>
            </w:r>
            <w:r w:rsidR="004630A3" w:rsidRPr="00B25B83">
              <w:t xml:space="preserve"> </w:t>
            </w:r>
            <w:r w:rsidRPr="00B25B83">
              <w:t xml:space="preserve">изменению </w:t>
            </w:r>
            <w:r w:rsidR="004630A3" w:rsidRPr="00B25B83">
              <w:t>Позиции Клиента в Торговой системе</w:t>
            </w:r>
            <w:r w:rsidR="00A43C3A" w:rsidRPr="00B25B83">
              <w:t>;</w:t>
            </w:r>
            <w:r w:rsidR="004630A3" w:rsidRPr="00B25B83">
              <w:t xml:space="preserve"> </w:t>
            </w:r>
          </w:p>
          <w:p w14:paraId="614180A7" w14:textId="77777777" w:rsidR="00C10A06" w:rsidRPr="00B25B83" w:rsidRDefault="001D5679" w:rsidP="00FF7D3D">
            <w:pPr>
              <w:numPr>
                <w:ilvl w:val="0"/>
                <w:numId w:val="13"/>
              </w:numPr>
            </w:pPr>
            <w:r w:rsidRPr="00B25B83">
              <w:t>н</w:t>
            </w:r>
            <w:r w:rsidR="00C10A06" w:rsidRPr="00B25B83">
              <w:t xml:space="preserve">а Неторговые операции для </w:t>
            </w:r>
            <w:r w:rsidR="003A784C" w:rsidRPr="00B25B83">
              <w:t>Администрирования Л</w:t>
            </w:r>
            <w:r w:rsidR="00C10A06" w:rsidRPr="00B25B83">
              <w:t xml:space="preserve">ицевого </w:t>
            </w:r>
            <w:r w:rsidR="00C10A06" w:rsidRPr="00B25B83">
              <w:lastRenderedPageBreak/>
              <w:t xml:space="preserve">счета </w:t>
            </w:r>
            <w:r w:rsidR="00E112B2" w:rsidRPr="00B25B83">
              <w:t>К</w:t>
            </w:r>
            <w:r w:rsidR="00C10A06" w:rsidRPr="00B25B83">
              <w:t xml:space="preserve">лиента, </w:t>
            </w:r>
          </w:p>
          <w:p w14:paraId="28F181B4" w14:textId="77777777" w:rsidR="004630A3" w:rsidRPr="00B25B83" w:rsidRDefault="004630A3" w:rsidP="004630A3">
            <w:pPr>
              <w:ind w:firstLine="0"/>
              <w:rPr>
                <w:snapToGrid w:val="0"/>
              </w:rPr>
            </w:pPr>
            <w:r w:rsidRPr="00B25B83">
              <w:t>адресованные Банку</w:t>
            </w:r>
            <w:r w:rsidRPr="00B25B83">
              <w:rPr>
                <w:snapToGrid w:val="0"/>
              </w:rPr>
              <w:t xml:space="preserve"> и переданные через ИТС </w:t>
            </w:r>
            <w:r w:rsidRPr="00B25B83">
              <w:rPr>
                <w:snapToGrid w:val="0"/>
                <w:kern w:val="0"/>
              </w:rPr>
              <w:t>QUIK</w:t>
            </w:r>
            <w:r w:rsidRPr="00B25B83">
              <w:rPr>
                <w:snapToGrid w:val="0"/>
              </w:rPr>
              <w:t>.</w:t>
            </w:r>
          </w:p>
          <w:p w14:paraId="0E708A83" w14:textId="1F20287A" w:rsidR="004630A3" w:rsidRPr="00B25B83" w:rsidRDefault="004630A3" w:rsidP="004630A3">
            <w:pPr>
              <w:ind w:firstLine="0"/>
              <w:rPr>
                <w:b/>
                <w:snapToGrid w:val="0"/>
                <w:u w:val="single"/>
              </w:rPr>
            </w:pPr>
          </w:p>
        </w:tc>
      </w:tr>
      <w:tr w:rsidR="001E549B" w:rsidRPr="00B25B83" w14:paraId="29A57302" w14:textId="77777777" w:rsidTr="00997321">
        <w:tc>
          <w:tcPr>
            <w:tcW w:w="1956" w:type="dxa"/>
          </w:tcPr>
          <w:p w14:paraId="24CD174C" w14:textId="77777777" w:rsidR="001E549B" w:rsidRPr="00B25B83" w:rsidRDefault="001E549B" w:rsidP="001E549B">
            <w:pPr>
              <w:ind w:firstLine="0"/>
              <w:rPr>
                <w:b/>
                <w:snapToGrid w:val="0"/>
              </w:rPr>
            </w:pPr>
            <w:r w:rsidRPr="00B25B83">
              <w:rPr>
                <w:b/>
              </w:rPr>
              <w:lastRenderedPageBreak/>
              <w:t>Простая Электронная подпись (Простая ЭП)</w:t>
            </w:r>
          </w:p>
        </w:tc>
        <w:tc>
          <w:tcPr>
            <w:tcW w:w="7400" w:type="dxa"/>
          </w:tcPr>
          <w:p w14:paraId="6B038CE8" w14:textId="2E9CE0C7" w:rsidR="001E549B" w:rsidRPr="00B25B83" w:rsidRDefault="001E549B" w:rsidP="00C27533">
            <w:pPr>
              <w:ind w:firstLine="0"/>
            </w:pPr>
            <w:r w:rsidRPr="00B25B83">
              <w:t xml:space="preserve">Совокупность информации, позволяющая однозначно идентифицировать отправителя электронного документа (Клиента), состоящая из идентификатора Рабочего места Клиента в ИТС </w:t>
            </w:r>
            <w:r w:rsidRPr="00B25B83">
              <w:rPr>
                <w:lang w:val="en-US"/>
              </w:rPr>
              <w:t>QUIK</w:t>
            </w:r>
            <w:r w:rsidRPr="00B25B83">
              <w:t xml:space="preserve"> (</w:t>
            </w:r>
            <w:r w:rsidRPr="00B25B83">
              <w:rPr>
                <w:lang w:val="en-US"/>
              </w:rPr>
              <w:t>UID</w:t>
            </w:r>
            <w:r w:rsidRPr="00B25B83">
              <w:t>), Логина и Пароля, Закрытого (secring) и Открытого (</w:t>
            </w:r>
            <w:r w:rsidR="0087717F" w:rsidRPr="00B25B83">
              <w:t>pubring) ключей</w:t>
            </w:r>
            <w:r w:rsidRPr="00B25B83">
              <w:t>, используемых при аутентификации пользователя и последующей отправке данных.</w:t>
            </w:r>
          </w:p>
          <w:p w14:paraId="0241995F" w14:textId="126ED3AE" w:rsidR="001E549B" w:rsidRPr="00B25B83" w:rsidRDefault="001E549B" w:rsidP="001E549B">
            <w:pPr>
              <w:ind w:firstLine="0"/>
              <w:rPr>
                <w:snapToGrid w:val="0"/>
              </w:rPr>
            </w:pPr>
            <w:r w:rsidRPr="00B25B83">
              <w:t>Указанные термины определены в Приложении №</w:t>
            </w:r>
            <w:r w:rsidR="001437E5">
              <w:t>1</w:t>
            </w:r>
            <w:r w:rsidRPr="00B25B83">
              <w:t>4</w:t>
            </w:r>
            <w:r w:rsidR="001437E5">
              <w:t>г</w:t>
            </w:r>
            <w:r w:rsidRPr="00B25B83">
              <w:t xml:space="preserve"> к Порядку.</w:t>
            </w:r>
          </w:p>
        </w:tc>
      </w:tr>
      <w:tr w:rsidR="001E549B" w:rsidRPr="00B25B83" w14:paraId="16BEC020" w14:textId="77777777" w:rsidTr="00997321">
        <w:tc>
          <w:tcPr>
            <w:tcW w:w="1956" w:type="dxa"/>
          </w:tcPr>
          <w:p w14:paraId="4B39CE9F" w14:textId="77777777" w:rsidR="001E549B" w:rsidRPr="00B25B83" w:rsidRDefault="001E549B" w:rsidP="001E549B">
            <w:pPr>
              <w:ind w:firstLine="0"/>
              <w:rPr>
                <w:b/>
                <w:snapToGrid w:val="0"/>
                <w:lang w:val="en-US"/>
              </w:rPr>
            </w:pPr>
            <w:r w:rsidRPr="00B25B83">
              <w:rPr>
                <w:b/>
                <w:kern w:val="0"/>
              </w:rPr>
              <w:t xml:space="preserve">Рабочее место Клиента </w:t>
            </w:r>
          </w:p>
        </w:tc>
        <w:tc>
          <w:tcPr>
            <w:tcW w:w="7400" w:type="dxa"/>
          </w:tcPr>
          <w:p w14:paraId="03B891C4" w14:textId="77777777" w:rsidR="001E549B" w:rsidRPr="00B25B83" w:rsidRDefault="001E549B" w:rsidP="001E549B">
            <w:pPr>
              <w:ind w:firstLine="0"/>
              <w:rPr>
                <w:snapToGrid w:val="0"/>
                <w:kern w:val="0"/>
              </w:rPr>
            </w:pPr>
            <w:r w:rsidRPr="00B25B83">
              <w:rPr>
                <w:snapToGrid w:val="0"/>
                <w:kern w:val="0"/>
              </w:rPr>
              <w:t>Совокупность программно-технических средств, позволяющая Клиенту установить и использовать ИТС QUIK в соответствии с функциональными возможностями.</w:t>
            </w:r>
          </w:p>
          <w:p w14:paraId="5ABCC42C" w14:textId="77777777" w:rsidR="001E549B" w:rsidRPr="00B25B83" w:rsidRDefault="001E549B" w:rsidP="001E549B">
            <w:pPr>
              <w:ind w:firstLine="0"/>
              <w:rPr>
                <w:b/>
                <w:kern w:val="0"/>
                <w:u w:val="single"/>
              </w:rPr>
            </w:pPr>
            <w:r w:rsidRPr="00B25B83">
              <w:rPr>
                <w:snapToGrid w:val="0"/>
                <w:kern w:val="0"/>
              </w:rPr>
              <w:t>Объем информации, предоставляемый Банком на Рабочее место Клиента, определяется Банком по своему усмотрению с учетом обеспечения возможности подачи Банку Поручений Клиента и технических возможностей используемого Банком оборудования и каналов связи.</w:t>
            </w:r>
          </w:p>
        </w:tc>
      </w:tr>
      <w:tr w:rsidR="004F6C6E" w:rsidRPr="00B25B83" w14:paraId="013F1521" w14:textId="77777777" w:rsidTr="00997321">
        <w:tc>
          <w:tcPr>
            <w:tcW w:w="1956" w:type="dxa"/>
          </w:tcPr>
          <w:p w14:paraId="273C581D" w14:textId="77777777" w:rsidR="004F6C6E" w:rsidRPr="00B25B83" w:rsidRDefault="004F6C6E" w:rsidP="001E549B">
            <w:pPr>
              <w:ind w:firstLine="0"/>
              <w:rPr>
                <w:b/>
              </w:rPr>
            </w:pPr>
            <w:r w:rsidRPr="00B25B83">
              <w:rPr>
                <w:b/>
              </w:rPr>
              <w:t>Сообщения</w:t>
            </w:r>
          </w:p>
        </w:tc>
        <w:tc>
          <w:tcPr>
            <w:tcW w:w="7400" w:type="dxa"/>
          </w:tcPr>
          <w:p w14:paraId="510D2B33" w14:textId="77777777" w:rsidR="004F6C6E" w:rsidRPr="00B25B83" w:rsidRDefault="004F6C6E" w:rsidP="001E549B">
            <w:pPr>
              <w:pStyle w:val="af2"/>
            </w:pPr>
            <w:r w:rsidRPr="00B25B83">
              <w:t>Для целей настоящего Порядка любые документы и все типы сообщений, направляемые Банком или Клиентом друг другу в процессе проведения операций в рамках настоящего Регламента посредством ИТС QUIK, в том числе, любое Поручение, Заявление, направленное посредством ИТС QUIK</w:t>
            </w:r>
            <w:r w:rsidR="00430E28" w:rsidRPr="00B25B83">
              <w:t>.</w:t>
            </w:r>
          </w:p>
        </w:tc>
      </w:tr>
      <w:tr w:rsidR="001E549B" w:rsidRPr="00B25B83" w14:paraId="5D09D3BF" w14:textId="77777777" w:rsidTr="00997321">
        <w:tc>
          <w:tcPr>
            <w:tcW w:w="1956" w:type="dxa"/>
          </w:tcPr>
          <w:p w14:paraId="6C1A3F0B" w14:textId="771A71D0" w:rsidR="001E549B" w:rsidRPr="00B25B83" w:rsidRDefault="001E549B" w:rsidP="001E549B">
            <w:pPr>
              <w:ind w:firstLine="0"/>
              <w:rPr>
                <w:b/>
              </w:rPr>
            </w:pPr>
            <w:r w:rsidRPr="00B25B83">
              <w:rPr>
                <w:b/>
              </w:rPr>
              <w:t xml:space="preserve">Средства </w:t>
            </w:r>
            <w:proofErr w:type="gramStart"/>
            <w:r w:rsidRPr="00B25B83">
              <w:rPr>
                <w:b/>
              </w:rPr>
              <w:t>криптографи</w:t>
            </w:r>
            <w:r w:rsidR="00F478EA">
              <w:rPr>
                <w:b/>
              </w:rPr>
              <w:t>-</w:t>
            </w:r>
            <w:r w:rsidRPr="00B25B83">
              <w:rPr>
                <w:b/>
              </w:rPr>
              <w:t>ческой</w:t>
            </w:r>
            <w:proofErr w:type="gramEnd"/>
            <w:r w:rsidRPr="00B25B83">
              <w:rPr>
                <w:b/>
              </w:rPr>
              <w:t xml:space="preserve"> защиты информации </w:t>
            </w:r>
            <w:r w:rsidRPr="00B25B83">
              <w:rPr>
                <w:rStyle w:val="afa"/>
                <w:i w:val="0"/>
              </w:rPr>
              <w:t>(СКЗИ)</w:t>
            </w:r>
          </w:p>
        </w:tc>
        <w:tc>
          <w:tcPr>
            <w:tcW w:w="7400" w:type="dxa"/>
          </w:tcPr>
          <w:p w14:paraId="45F181B5" w14:textId="77777777" w:rsidR="001E549B" w:rsidRPr="00B25B83" w:rsidDel="001110AA" w:rsidRDefault="001E549B" w:rsidP="001E549B">
            <w:pPr>
              <w:pStyle w:val="af2"/>
            </w:pPr>
            <w:r w:rsidRPr="00B25B83">
              <w:t>Совокупность программно-технических средств, обеспечивающих применение ЭП и шифрования при организации электронного документооборота.</w:t>
            </w:r>
          </w:p>
        </w:tc>
      </w:tr>
      <w:tr w:rsidR="001E549B" w:rsidRPr="00B25B83" w14:paraId="204BB127" w14:textId="77777777" w:rsidTr="00997321">
        <w:tc>
          <w:tcPr>
            <w:tcW w:w="1956" w:type="dxa"/>
          </w:tcPr>
          <w:p w14:paraId="235BBD93" w14:textId="77777777" w:rsidR="001E549B" w:rsidRPr="00B25B83" w:rsidRDefault="001E549B" w:rsidP="001E549B">
            <w:pPr>
              <w:ind w:firstLine="0"/>
              <w:rPr>
                <w:b/>
                <w:snapToGrid w:val="0"/>
              </w:rPr>
            </w:pPr>
            <w:r w:rsidRPr="00B25B83">
              <w:rPr>
                <w:b/>
                <w:snapToGrid w:val="0"/>
              </w:rPr>
              <w:t>Транзакция</w:t>
            </w:r>
          </w:p>
        </w:tc>
        <w:tc>
          <w:tcPr>
            <w:tcW w:w="7400" w:type="dxa"/>
          </w:tcPr>
          <w:p w14:paraId="11846CB9" w14:textId="77777777" w:rsidR="001E549B" w:rsidRPr="00B25B83" w:rsidRDefault="001E549B" w:rsidP="001E549B">
            <w:pPr>
              <w:ind w:firstLine="0"/>
              <w:rPr>
                <w:b/>
                <w:snapToGrid w:val="0"/>
                <w:u w:val="single"/>
              </w:rPr>
            </w:pPr>
            <w:r w:rsidRPr="00B25B83">
              <w:rPr>
                <w:snapToGrid w:val="0"/>
              </w:rPr>
              <w:t xml:space="preserve">Операция, совершаемая клиентом в ИТС </w:t>
            </w:r>
            <w:r w:rsidRPr="00B25B83">
              <w:rPr>
                <w:snapToGrid w:val="0"/>
                <w:lang w:val="en-US"/>
              </w:rPr>
              <w:t>QUIK</w:t>
            </w:r>
            <w:r w:rsidRPr="00B25B83">
              <w:rPr>
                <w:snapToGrid w:val="0"/>
              </w:rPr>
              <w:t xml:space="preserve"> в процессе подключения к серверу, хранящаяся в электронном виде на сервере Банка.</w:t>
            </w:r>
          </w:p>
        </w:tc>
      </w:tr>
      <w:tr w:rsidR="001E549B" w:rsidRPr="00B25B83" w14:paraId="445CA5EE" w14:textId="77777777" w:rsidTr="00997321">
        <w:tc>
          <w:tcPr>
            <w:tcW w:w="1956" w:type="dxa"/>
          </w:tcPr>
          <w:p w14:paraId="12D7E4A3" w14:textId="77777777" w:rsidR="001E549B" w:rsidRPr="00B25B83" w:rsidRDefault="001E549B" w:rsidP="001E549B">
            <w:pPr>
              <w:ind w:firstLine="0"/>
              <w:rPr>
                <w:b/>
              </w:rPr>
            </w:pPr>
            <w:r w:rsidRPr="00B25B83">
              <w:rPr>
                <w:b/>
              </w:rPr>
              <w:t>UID</w:t>
            </w:r>
          </w:p>
        </w:tc>
        <w:tc>
          <w:tcPr>
            <w:tcW w:w="7400" w:type="dxa"/>
          </w:tcPr>
          <w:p w14:paraId="7F6AEEEB" w14:textId="77777777" w:rsidR="001E549B" w:rsidRPr="00B25B83" w:rsidRDefault="001E549B" w:rsidP="001E549B">
            <w:pPr>
              <w:ind w:firstLine="0"/>
              <w:rPr>
                <w:color w:val="1F497D"/>
              </w:rPr>
            </w:pPr>
            <w:r w:rsidRPr="00B25B83">
              <w:t xml:space="preserve">Уникальный идентификационный номер Рабочего места Клиента в ИТС </w:t>
            </w:r>
            <w:r w:rsidRPr="00B25B83">
              <w:rPr>
                <w:lang w:val="en-US"/>
              </w:rPr>
              <w:t>QUIK</w:t>
            </w:r>
            <w:r w:rsidRPr="00B25B83">
              <w:t>.</w:t>
            </w:r>
          </w:p>
        </w:tc>
      </w:tr>
    </w:tbl>
    <w:p w14:paraId="31567F57" w14:textId="77777777" w:rsidR="007D0C8C" w:rsidRPr="00B25B83" w:rsidRDefault="007D0C8C" w:rsidP="002312C0">
      <w:pPr>
        <w:rPr>
          <w:snapToGrid w:val="0"/>
        </w:rPr>
      </w:pPr>
    </w:p>
    <w:p w14:paraId="5E600B50" w14:textId="77777777" w:rsidR="007D0C8C" w:rsidRPr="00B25B83" w:rsidRDefault="007D0C8C" w:rsidP="002312C0">
      <w:pPr>
        <w:rPr>
          <w:snapToGrid w:val="0"/>
        </w:rPr>
      </w:pPr>
      <w:r w:rsidRPr="00B25B83">
        <w:rPr>
          <w:snapToGrid w:val="0"/>
        </w:rPr>
        <w:t xml:space="preserve">Иные термины, специально не определенные настоящим Порядком и Регламентом, используются в значениях, установленных законодательством Российской Федерации и нормативными </w:t>
      </w:r>
      <w:r w:rsidR="00805A62" w:rsidRPr="00B25B83">
        <w:rPr>
          <w:snapToGrid w:val="0"/>
        </w:rPr>
        <w:t xml:space="preserve">правовыми </w:t>
      </w:r>
      <w:r w:rsidR="003206F6" w:rsidRPr="00B25B83">
        <w:rPr>
          <w:snapToGrid w:val="0"/>
        </w:rPr>
        <w:t xml:space="preserve">актами </w:t>
      </w:r>
      <w:r w:rsidRPr="00B25B83">
        <w:rPr>
          <w:snapToGrid w:val="0"/>
        </w:rPr>
        <w:t>Российской Федерации</w:t>
      </w:r>
      <w:r w:rsidR="00805A62" w:rsidRPr="00B25B83">
        <w:rPr>
          <w:snapToGrid w:val="0"/>
        </w:rPr>
        <w:t>,</w:t>
      </w:r>
      <w:r w:rsidR="0090592B" w:rsidRPr="00B25B83">
        <w:rPr>
          <w:snapToGrid w:val="0"/>
        </w:rPr>
        <w:t xml:space="preserve"> </w:t>
      </w:r>
      <w:r w:rsidR="00E508B4" w:rsidRPr="00B25B83">
        <w:rPr>
          <w:snapToGrid w:val="0"/>
        </w:rPr>
        <w:t>Документацией</w:t>
      </w:r>
      <w:r w:rsidR="002A1AE8" w:rsidRPr="00B25B83">
        <w:rPr>
          <w:snapToGrid w:val="0"/>
        </w:rPr>
        <w:t xml:space="preserve"> </w:t>
      </w:r>
      <w:r w:rsidR="0090592B" w:rsidRPr="00B25B83">
        <w:rPr>
          <w:snapToGrid w:val="0"/>
        </w:rPr>
        <w:t>ИТС</w:t>
      </w:r>
      <w:r w:rsidRPr="00B25B83">
        <w:rPr>
          <w:snapToGrid w:val="0"/>
        </w:rPr>
        <w:t>.</w:t>
      </w:r>
    </w:p>
    <w:p w14:paraId="259EECAF" w14:textId="77777777" w:rsidR="007D0C8C" w:rsidRPr="00B25B83" w:rsidRDefault="007D0C8C" w:rsidP="002312C0">
      <w:pPr>
        <w:rPr>
          <w:snapToGrid w:val="0"/>
        </w:rPr>
      </w:pPr>
    </w:p>
    <w:p w14:paraId="5CEAA946" w14:textId="77777777" w:rsidR="007D0C8C" w:rsidRPr="00B25B83" w:rsidRDefault="007D0C8C" w:rsidP="007A53FC">
      <w:pPr>
        <w:pStyle w:val="2"/>
      </w:pPr>
      <w:r w:rsidRPr="00B25B83">
        <w:t xml:space="preserve">Настоящий Порядок является неотъемлемой частью Регламента и определяет порядок и условия предоставления Банком Клиенту </w:t>
      </w:r>
      <w:r w:rsidR="00EB2D3F" w:rsidRPr="00B25B83">
        <w:t xml:space="preserve">в рамках Соглашения </w:t>
      </w:r>
      <w:r w:rsidRPr="00B25B83">
        <w:t xml:space="preserve">дополнительных услуг на </w:t>
      </w:r>
      <w:r w:rsidR="008F0F94" w:rsidRPr="00B25B83">
        <w:t xml:space="preserve">финансовых рынках </w:t>
      </w:r>
      <w:r w:rsidRPr="00B25B83">
        <w:t>с использованием ИТС</w:t>
      </w:r>
      <w:r w:rsidR="004A1995" w:rsidRPr="00B25B83">
        <w:t xml:space="preserve"> </w:t>
      </w:r>
      <w:r w:rsidR="004A1995" w:rsidRPr="00B25B83">
        <w:rPr>
          <w:lang w:val="en-US"/>
        </w:rPr>
        <w:t>QUIK</w:t>
      </w:r>
      <w:r w:rsidRPr="00B25B83">
        <w:t>, а также возникающие при этом взаимные права и обязанности Сторон.</w:t>
      </w:r>
    </w:p>
    <w:p w14:paraId="316CC902" w14:textId="77777777" w:rsidR="007D0C8C" w:rsidRPr="00B25B83" w:rsidRDefault="007D0C8C" w:rsidP="007A53FC">
      <w:pPr>
        <w:pStyle w:val="2"/>
      </w:pPr>
      <w:r w:rsidRPr="00B25B83">
        <w:t xml:space="preserve">Порядок устанавливает особенности взаимодействия Сторон </w:t>
      </w:r>
      <w:r w:rsidR="004740F9" w:rsidRPr="00B25B83">
        <w:t>посредством</w:t>
      </w:r>
      <w:r w:rsidRPr="00B25B83">
        <w:t xml:space="preserve"> ИТС</w:t>
      </w:r>
      <w:r w:rsidR="00182EF5" w:rsidRPr="00B25B83">
        <w:t xml:space="preserve"> </w:t>
      </w:r>
      <w:r w:rsidR="00182EF5" w:rsidRPr="00B25B83">
        <w:rPr>
          <w:lang w:val="en-US"/>
        </w:rPr>
        <w:t>QUIK</w:t>
      </w:r>
      <w:r w:rsidRPr="00B25B83">
        <w:t xml:space="preserve"> в дополнение к обычным способам взаимодействия Сторон по Соглашению и не отменяет</w:t>
      </w:r>
      <w:r w:rsidR="00AF4DD5" w:rsidRPr="00B25B83">
        <w:t xml:space="preserve"> и </w:t>
      </w:r>
      <w:r w:rsidRPr="00B25B83">
        <w:t>не заменяет последн</w:t>
      </w:r>
      <w:r w:rsidR="00AF4DD5" w:rsidRPr="00B25B83">
        <w:t>и</w:t>
      </w:r>
      <w:r w:rsidRPr="00B25B83">
        <w:t>е.</w:t>
      </w:r>
    </w:p>
    <w:p w14:paraId="35681EC1" w14:textId="77777777" w:rsidR="007D0C8C" w:rsidRPr="00B25B83" w:rsidRDefault="007D0C8C" w:rsidP="007A53FC">
      <w:pPr>
        <w:pStyle w:val="2"/>
      </w:pPr>
      <w:r w:rsidRPr="00B25B83">
        <w:lastRenderedPageBreak/>
        <w:t xml:space="preserve">В случае невозможности осуществления взаимодействия Сторон посредством ИТС </w:t>
      </w:r>
      <w:r w:rsidR="004A1995" w:rsidRPr="00B25B83">
        <w:rPr>
          <w:lang w:val="en-US"/>
        </w:rPr>
        <w:t>QUIK</w:t>
      </w:r>
      <w:r w:rsidR="004A1995" w:rsidRPr="00B25B83">
        <w:t xml:space="preserve"> </w:t>
      </w:r>
      <w:r w:rsidRPr="00B25B83">
        <w:t>по каким-либо, в том числе техническим</w:t>
      </w:r>
      <w:r w:rsidR="00AF4DD5" w:rsidRPr="00B25B83">
        <w:t>,</w:t>
      </w:r>
      <w:r w:rsidRPr="00B25B83">
        <w:t xml:space="preserve"> причинам или по причине ограничения Банком доступа Клиента к ИТС </w:t>
      </w:r>
      <w:r w:rsidR="004A1995" w:rsidRPr="00B25B83">
        <w:rPr>
          <w:lang w:val="en-US"/>
        </w:rPr>
        <w:t>QUIK</w:t>
      </w:r>
      <w:r w:rsidR="004A1995" w:rsidRPr="00B25B83">
        <w:t xml:space="preserve"> </w:t>
      </w:r>
      <w:r w:rsidRPr="00B25B83">
        <w:t>взаимодействие Сторон должно осуществляться способами, предусмотренными Регламентом, без ущерба для взаимоотношений Сторон.</w:t>
      </w:r>
    </w:p>
    <w:p w14:paraId="7670A176" w14:textId="77777777" w:rsidR="007D0C8C" w:rsidRPr="00B25B83" w:rsidRDefault="007D0C8C" w:rsidP="007A53FC">
      <w:pPr>
        <w:pStyle w:val="2"/>
      </w:pPr>
      <w:r w:rsidRPr="00B25B83">
        <w:t xml:space="preserve">Во всех случаях, когда в настоящем Порядке прямо не установлено иное, положения Регламента распространяются на случаи взаимодействия Сторон посредством ИТС </w:t>
      </w:r>
      <w:r w:rsidR="004A1995" w:rsidRPr="00B25B83">
        <w:rPr>
          <w:lang w:val="en-US"/>
        </w:rPr>
        <w:t>QUIK</w:t>
      </w:r>
      <w:r w:rsidR="004A1995" w:rsidRPr="00B25B83">
        <w:t xml:space="preserve"> </w:t>
      </w:r>
      <w:r w:rsidRPr="00B25B83">
        <w:t>без ограничений и с учетом положений настоящего Порядка.</w:t>
      </w:r>
    </w:p>
    <w:p w14:paraId="59EF136B" w14:textId="77777777" w:rsidR="007D0C8C" w:rsidRPr="00B25B83" w:rsidRDefault="007D0C8C" w:rsidP="007A53FC">
      <w:pPr>
        <w:pStyle w:val="2"/>
      </w:pPr>
      <w:r w:rsidRPr="00B25B83">
        <w:t>Все взаиморасчеты Сторон, связанные с оказанием Банком Клиенту дополнительных услуг в объеме, определенном в настоящем Порядке, регулируются положениями Регламента.</w:t>
      </w:r>
    </w:p>
    <w:p w14:paraId="43C8CAE9" w14:textId="77777777" w:rsidR="007D0C8C" w:rsidRPr="00B25B83" w:rsidRDefault="007D0C8C" w:rsidP="007A53FC">
      <w:pPr>
        <w:pStyle w:val="2"/>
        <w:rPr>
          <w:lang w:val="en-US"/>
        </w:rPr>
      </w:pPr>
      <w:r w:rsidRPr="00B25B83">
        <w:t>Операции, осуществляемые в рамках настоящего Порядка, отражаются в учете на общих основаниях и включаются в общую отчетность, предоставляемую Клиенту в соответствии с положениями Регламента.</w:t>
      </w:r>
    </w:p>
    <w:p w14:paraId="4C36AC30" w14:textId="66164CF5" w:rsidR="00195F2A" w:rsidRPr="00B25B83" w:rsidRDefault="007D0C8C" w:rsidP="007A53FC">
      <w:pPr>
        <w:pStyle w:val="2"/>
        <w:numPr>
          <w:ilvl w:val="0"/>
          <w:numId w:val="0"/>
        </w:numPr>
        <w:ind w:left="851"/>
      </w:pPr>
      <w:r w:rsidRPr="00B25B83">
        <w:t>Для обеспечения безопасности электронного документооборота в ИТС</w:t>
      </w:r>
      <w:r w:rsidR="0056167C" w:rsidRPr="00B25B83">
        <w:t xml:space="preserve"> </w:t>
      </w:r>
      <w:r w:rsidR="0056167C" w:rsidRPr="00B25B83">
        <w:rPr>
          <w:lang w:val="en-US"/>
        </w:rPr>
        <w:t>QUIK</w:t>
      </w:r>
      <w:r w:rsidRPr="00B25B83">
        <w:t xml:space="preserve"> </w:t>
      </w:r>
      <w:r w:rsidR="0054589E" w:rsidRPr="00B25B83">
        <w:t>Поручения</w:t>
      </w:r>
      <w:r w:rsidRPr="00B25B83">
        <w:t xml:space="preserve">, </w:t>
      </w:r>
      <w:r w:rsidR="00AB34F7" w:rsidRPr="00B25B83">
        <w:t>поданные</w:t>
      </w:r>
      <w:r w:rsidR="00B541FB" w:rsidRPr="00B25B83">
        <w:t xml:space="preserve"> </w:t>
      </w:r>
      <w:r w:rsidR="00AB34F7" w:rsidRPr="00B25B83">
        <w:t xml:space="preserve">Клиентом </w:t>
      </w:r>
      <w:r w:rsidR="0067686C" w:rsidRPr="00B25B83">
        <w:t>с помощью</w:t>
      </w:r>
      <w:r w:rsidRPr="00B25B83">
        <w:t xml:space="preserve"> ИТС</w:t>
      </w:r>
      <w:r w:rsidR="0056167C" w:rsidRPr="00B25B83">
        <w:t xml:space="preserve"> </w:t>
      </w:r>
      <w:r w:rsidR="0056167C" w:rsidRPr="00B25B83">
        <w:rPr>
          <w:lang w:val="en-US"/>
        </w:rPr>
        <w:t>QUIK</w:t>
      </w:r>
      <w:r w:rsidRPr="00B25B83">
        <w:t>, подписываются</w:t>
      </w:r>
      <w:r w:rsidR="0087717F" w:rsidRPr="00B25B83">
        <w:t xml:space="preserve"> </w:t>
      </w:r>
      <w:r w:rsidR="00195F2A" w:rsidRPr="00B25B83">
        <w:t xml:space="preserve">аналогом собственноручной подписи отправителя - Простой ЭП, содержащей средства для защиты передаваемой информации по телекоммуникационным каналам и метод реализации в ИТС </w:t>
      </w:r>
      <w:r w:rsidR="00195F2A" w:rsidRPr="00B25B83">
        <w:rPr>
          <w:lang w:val="en-US"/>
        </w:rPr>
        <w:t>QUIK</w:t>
      </w:r>
      <w:r w:rsidR="00195F2A" w:rsidRPr="00B25B83">
        <w:t xml:space="preserve"> с использованием Открытого ключа (pubring) и Закрытого ключа (secring) и аутентификации Клиента в ИТС QUIK с использованием Логина и Пароля в качестве средства подтверждения авторства и подлинности передаваемых Банку электронных документов.</w:t>
      </w:r>
    </w:p>
    <w:p w14:paraId="687888FF" w14:textId="77777777" w:rsidR="004C719F" w:rsidRPr="00B25B83" w:rsidRDefault="004C719F" w:rsidP="007A53FC">
      <w:pPr>
        <w:pStyle w:val="2"/>
      </w:pPr>
      <w:r w:rsidRPr="00B25B83">
        <w:t xml:space="preserve">Клиент безусловно подтверждает полномочия лиц, осуществляющих действия от имени Клиента в рамках настоящего Порядка и/или направляющих Банку любой документ и/или Сообщение (включая Поручения Клиента) посредством ИТС </w:t>
      </w:r>
      <w:r w:rsidRPr="00B25B83">
        <w:rPr>
          <w:lang w:val="en-US"/>
        </w:rPr>
        <w:t>QUIK</w:t>
      </w:r>
      <w:r w:rsidRPr="00B25B83">
        <w:t xml:space="preserve">. </w:t>
      </w:r>
    </w:p>
    <w:p w14:paraId="732C9D7D" w14:textId="77777777" w:rsidR="004C719F" w:rsidRPr="00B25B83" w:rsidRDefault="004C719F" w:rsidP="007A53FC">
      <w:pPr>
        <w:pStyle w:val="2"/>
      </w:pPr>
      <w:r w:rsidRPr="00B25B83">
        <w:t xml:space="preserve">Клиент обязуется: </w:t>
      </w:r>
    </w:p>
    <w:p w14:paraId="11A2B21C" w14:textId="77777777" w:rsidR="004C719F" w:rsidRPr="00B25B83" w:rsidRDefault="004C719F" w:rsidP="001E549B">
      <w:pPr>
        <w:pStyle w:val="1-"/>
        <w:ind w:left="851"/>
      </w:pPr>
      <w:r w:rsidRPr="00B25B83">
        <w:t>обеспечить доступ к системе ИТС QUIK (включая Рабоче</w:t>
      </w:r>
      <w:r w:rsidR="00057B50" w:rsidRPr="00B25B83">
        <w:t>е</w:t>
      </w:r>
      <w:r w:rsidRPr="00B25B83">
        <w:t xml:space="preserve"> мест</w:t>
      </w:r>
      <w:r w:rsidR="00057B50" w:rsidRPr="00B25B83">
        <w:t>о</w:t>
      </w:r>
      <w:r w:rsidRPr="00B25B83">
        <w:t xml:space="preserve"> Клиента</w:t>
      </w:r>
      <w:r w:rsidR="00057B50" w:rsidRPr="00B25B83">
        <w:t xml:space="preserve"> и Ключ ЭП</w:t>
      </w:r>
      <w:r w:rsidRPr="00B25B83">
        <w:t>) исключительно лицам, которые уполномочены выполнять от имени Клиента действия, предусмотренные настоящим Порядком, а также направлять в Банк любой документ и/или Сообщение (включая Поручения) посредством ИТС QUIK;</w:t>
      </w:r>
    </w:p>
    <w:p w14:paraId="29978CA7" w14:textId="77777777" w:rsidR="004C719F" w:rsidRPr="00B25B83" w:rsidRDefault="004C719F" w:rsidP="001E549B">
      <w:pPr>
        <w:pStyle w:val="1-"/>
        <w:ind w:left="851"/>
      </w:pPr>
      <w:r w:rsidRPr="00B25B83">
        <w:t>обеспечить невозможность доступа неуполномоченных лиц к ИТС QUIK (включая Рабоче</w:t>
      </w:r>
      <w:r w:rsidR="00057B50" w:rsidRPr="00B25B83">
        <w:t>е</w:t>
      </w:r>
      <w:r w:rsidRPr="00B25B83">
        <w:t xml:space="preserve"> мест</w:t>
      </w:r>
      <w:r w:rsidR="00057B50" w:rsidRPr="00B25B83">
        <w:t>о</w:t>
      </w:r>
      <w:r w:rsidRPr="00B25B83">
        <w:t xml:space="preserve"> Клиента</w:t>
      </w:r>
      <w:r w:rsidR="00057B50" w:rsidRPr="00B25B83">
        <w:t xml:space="preserve"> и Ключ ЭП</w:t>
      </w:r>
      <w:r w:rsidRPr="00B25B83">
        <w:t>);</w:t>
      </w:r>
    </w:p>
    <w:p w14:paraId="35FBAA27" w14:textId="77777777" w:rsidR="004C719F" w:rsidRPr="00B25B83" w:rsidRDefault="004C719F" w:rsidP="001E549B">
      <w:pPr>
        <w:pStyle w:val="1-"/>
        <w:ind w:left="851"/>
      </w:pPr>
      <w:r w:rsidRPr="00B25B83">
        <w:t>возместить Банку все убытки, связанные с невыполнением вышеуказанных обязательств.</w:t>
      </w:r>
    </w:p>
    <w:p w14:paraId="2503656E" w14:textId="21F44129" w:rsidR="006F2887" w:rsidRPr="00B25B83" w:rsidRDefault="00E37E97" w:rsidP="007A53FC">
      <w:pPr>
        <w:pStyle w:val="2"/>
        <w:numPr>
          <w:ilvl w:val="0"/>
          <w:numId w:val="0"/>
        </w:numPr>
        <w:ind w:left="851"/>
      </w:pPr>
      <w:r w:rsidRPr="00B25B83">
        <w:t>К</w:t>
      </w:r>
      <w:r w:rsidR="004C719F" w:rsidRPr="00B25B83">
        <w:t>аждая Сторона настоящим соглашается с тем, что факт</w:t>
      </w:r>
      <w:r w:rsidR="00CE7F70" w:rsidRPr="00B25B83">
        <w:t xml:space="preserve"> </w:t>
      </w:r>
      <w:r w:rsidR="004C719F" w:rsidRPr="00B25B83">
        <w:t xml:space="preserve">доступа какого-либо лица к ИТС QUIK посредством </w:t>
      </w:r>
      <w:r w:rsidR="00E62593" w:rsidRPr="00B25B83">
        <w:t>аутентификации</w:t>
      </w:r>
      <w:r w:rsidR="004C719F" w:rsidRPr="00B25B83">
        <w:t xml:space="preserve"> в ИТС QUIK с</w:t>
      </w:r>
      <w:r w:rsidR="00B61F3D" w:rsidRPr="00B25B83">
        <w:t xml:space="preserve"> использованием</w:t>
      </w:r>
      <w:r w:rsidR="00D10AD6" w:rsidRPr="00B25B83">
        <w:t xml:space="preserve"> Ключей </w:t>
      </w:r>
      <w:r w:rsidR="00E62593" w:rsidRPr="00B25B83">
        <w:t>аутентификации</w:t>
      </w:r>
      <w:r w:rsidR="00D10AD6" w:rsidRPr="00B25B83">
        <w:t>, Логина и Пароля</w:t>
      </w:r>
      <w:r w:rsidR="00CE7F70" w:rsidRPr="00B25B83">
        <w:t xml:space="preserve"> </w:t>
      </w:r>
      <w:r w:rsidR="004C719F" w:rsidRPr="00B25B83">
        <w:t xml:space="preserve">или направление таким лицом документа и/или </w:t>
      </w:r>
      <w:r w:rsidR="001222E0" w:rsidRPr="00B25B83">
        <w:t>С</w:t>
      </w:r>
      <w:r w:rsidR="004C719F" w:rsidRPr="00B25B83">
        <w:t xml:space="preserve">ообщения с использованием ИТС QUIK, </w:t>
      </w:r>
      <w:r w:rsidR="009C29ED" w:rsidRPr="00B25B83">
        <w:t>является неоспоримым свидетельством полномочий такого лица на осуществление действий от имени Клиента, предусмотренных в Регламенте и настоящем Порядке, независимо от того получила ли другая Сторона доверенность или иной документ, подтверждающий полномочия такого лица.</w:t>
      </w:r>
    </w:p>
    <w:p w14:paraId="44BFE5EA" w14:textId="77777777" w:rsidR="00B25B83" w:rsidRPr="00B25B83" w:rsidRDefault="00B25B83" w:rsidP="00B25B83"/>
    <w:p w14:paraId="0E56E948" w14:textId="77777777" w:rsidR="007D0C8C" w:rsidRPr="00B25B83" w:rsidRDefault="007D0C8C" w:rsidP="002312C0">
      <w:pPr>
        <w:pStyle w:val="1"/>
        <w:rPr>
          <w:sz w:val="24"/>
          <w:szCs w:val="24"/>
        </w:rPr>
      </w:pPr>
      <w:bookmarkStart w:id="1" w:name="_Toc153806382"/>
      <w:r w:rsidRPr="00B25B83">
        <w:rPr>
          <w:sz w:val="24"/>
          <w:szCs w:val="24"/>
        </w:rPr>
        <w:lastRenderedPageBreak/>
        <w:t>ОБЩЕЕ ОПИСАНИЕ ВЗАИМОДЕЙСТВИЯ СТОРОН</w:t>
      </w:r>
      <w:bookmarkEnd w:id="1"/>
    </w:p>
    <w:p w14:paraId="37402B1A" w14:textId="77777777" w:rsidR="007D0C8C" w:rsidRPr="00B25B83" w:rsidRDefault="00FE4890" w:rsidP="007A53FC">
      <w:pPr>
        <w:pStyle w:val="2"/>
      </w:pPr>
      <w:r w:rsidRPr="00B25B83">
        <w:t xml:space="preserve">Общие </w:t>
      </w:r>
      <w:r w:rsidR="007D0C8C" w:rsidRPr="00B25B83">
        <w:t>положения</w:t>
      </w:r>
    </w:p>
    <w:p w14:paraId="33C243E9" w14:textId="77777777" w:rsidR="007D0C8C" w:rsidRPr="00B25B83" w:rsidRDefault="007D0C8C" w:rsidP="001E549B">
      <w:pPr>
        <w:pStyle w:val="3"/>
      </w:pPr>
      <w:r w:rsidRPr="00B25B83">
        <w:t>При оказании услуг в рамках настоящего Порядка Банк:</w:t>
      </w:r>
    </w:p>
    <w:p w14:paraId="3EB415B7" w14:textId="77777777" w:rsidR="007D0C8C" w:rsidRPr="00B25B83" w:rsidRDefault="007D0C8C" w:rsidP="009913F8">
      <w:pPr>
        <w:pStyle w:val="4"/>
      </w:pPr>
      <w:r w:rsidRPr="00B25B83">
        <w:t>НЕ является разработчиком ИТС</w:t>
      </w:r>
      <w:r w:rsidR="001222E0" w:rsidRPr="00B25B83">
        <w:t xml:space="preserve"> QUIK</w:t>
      </w:r>
      <w:r w:rsidRPr="00B25B83">
        <w:t>, используемого для этих целей,</w:t>
      </w:r>
    </w:p>
    <w:p w14:paraId="1DB1DFAE" w14:textId="77777777" w:rsidR="007D0C8C" w:rsidRPr="00B25B83" w:rsidRDefault="007D0C8C" w:rsidP="009913F8">
      <w:pPr>
        <w:pStyle w:val="4"/>
      </w:pPr>
      <w:r w:rsidRPr="00B25B83">
        <w:t>НЕ предоставляет Клиентам услуги по доступу в сеть Интернет,</w:t>
      </w:r>
    </w:p>
    <w:p w14:paraId="4BDED3A7" w14:textId="77777777" w:rsidR="007D0C8C" w:rsidRPr="00B25B83" w:rsidRDefault="007D0C8C" w:rsidP="009913F8">
      <w:pPr>
        <w:pStyle w:val="4"/>
      </w:pPr>
      <w:r w:rsidRPr="00B25B83">
        <w:t>НЕ выполняет функций организатора сети.</w:t>
      </w:r>
    </w:p>
    <w:p w14:paraId="3E6A8569" w14:textId="77777777" w:rsidR="007D0C8C" w:rsidRPr="00B25B83" w:rsidRDefault="007D0C8C" w:rsidP="001E549B">
      <w:pPr>
        <w:pStyle w:val="3"/>
      </w:pPr>
      <w:r w:rsidRPr="00B25B83">
        <w:t>Услуги, предоставляемые в рамках настоящего Порядка, оказываются Банком на основании договоров, заключенных Банком с разработчиком(</w:t>
      </w:r>
      <w:proofErr w:type="spellStart"/>
      <w:r w:rsidRPr="00B25B83">
        <w:t>ами</w:t>
      </w:r>
      <w:proofErr w:type="spellEnd"/>
      <w:r w:rsidRPr="00B25B83">
        <w:t>)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>, провайдером(</w:t>
      </w:r>
      <w:proofErr w:type="spellStart"/>
      <w:r w:rsidRPr="00B25B83">
        <w:t>ами</w:t>
      </w:r>
      <w:proofErr w:type="spellEnd"/>
      <w:r w:rsidRPr="00B25B83">
        <w:t>) услуг доступа к сети Интернет.</w:t>
      </w:r>
    </w:p>
    <w:p w14:paraId="178CDB86" w14:textId="77777777" w:rsidR="007D0C8C" w:rsidRPr="00B25B83" w:rsidRDefault="007D0C8C" w:rsidP="001E549B">
      <w:pPr>
        <w:pStyle w:val="3"/>
      </w:pPr>
      <w:r w:rsidRPr="00B25B83">
        <w:t>Использование Клиентом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 не требует получения Клиентом каких-либо лицензий.</w:t>
      </w:r>
    </w:p>
    <w:p w14:paraId="11CE5702" w14:textId="77777777" w:rsidR="0056167C" w:rsidRPr="00B25B83" w:rsidRDefault="0056167C" w:rsidP="001E549B">
      <w:pPr>
        <w:pStyle w:val="3"/>
      </w:pPr>
      <w:r w:rsidRPr="00B25B83">
        <w:t xml:space="preserve">Для обеспечения возможности получения услуг в рамках настоящего Порядка Клиент самостоятельно обеспечивает доступ в сеть Интернет, приобретает необходимое оборудование и/или программное обеспечение для эксплуатации ИТС </w:t>
      </w:r>
      <w:r w:rsidRPr="00B25B83">
        <w:rPr>
          <w:lang w:val="en-US"/>
        </w:rPr>
        <w:t>QUIK</w:t>
      </w:r>
      <w:r w:rsidR="00FD0DE4" w:rsidRPr="00B25B83">
        <w:t>.</w:t>
      </w:r>
      <w:r w:rsidRPr="00B25B83">
        <w:t xml:space="preserve"> </w:t>
      </w:r>
    </w:p>
    <w:p w14:paraId="33ECAB76" w14:textId="77777777" w:rsidR="007D0C8C" w:rsidRPr="00B25B83" w:rsidRDefault="00C46CF9" w:rsidP="001E549B">
      <w:pPr>
        <w:pStyle w:val="3"/>
      </w:pPr>
      <w:r w:rsidRPr="00B25B83">
        <w:t>Информация</w:t>
      </w:r>
      <w:r w:rsidR="007D0C8C" w:rsidRPr="00B25B83">
        <w:t xml:space="preserve"> о </w:t>
      </w:r>
      <w:r w:rsidR="00C930ED" w:rsidRPr="00B25B83">
        <w:t>л</w:t>
      </w:r>
      <w:r w:rsidR="007D0C8C" w:rsidRPr="00B25B83">
        <w:t xml:space="preserve">имитах денежных средств и/или </w:t>
      </w:r>
      <w:r w:rsidR="007D0C8C" w:rsidRPr="00B25B83">
        <w:rPr>
          <w:snapToGrid w:val="0"/>
        </w:rPr>
        <w:t>Финансовых инструментов</w:t>
      </w:r>
      <w:r w:rsidR="007D0C8C" w:rsidRPr="00B25B83">
        <w:t>, предоставляемая Клиенту в течение Торгового дня средствами ИТС</w:t>
      </w:r>
      <w:r w:rsidR="008F5B70" w:rsidRPr="00B25B83">
        <w:t xml:space="preserve"> QUIK</w:t>
      </w:r>
      <w:r w:rsidR="007D0C8C" w:rsidRPr="00B25B83">
        <w:t>, не является официальной и предоставляется Клиенту только для удобства осуществления операций.</w:t>
      </w:r>
    </w:p>
    <w:p w14:paraId="197AAF80" w14:textId="7028AD0F" w:rsidR="007D0C8C" w:rsidRPr="00B25B83" w:rsidRDefault="005E758D" w:rsidP="001E549B">
      <w:pPr>
        <w:pStyle w:val="3"/>
      </w:pPr>
      <w:r w:rsidRPr="00B25B83">
        <w:t xml:space="preserve">Для подтверждения фактов осуществления Сторонами тех или иных действий, а также содержания таких действий, включая, но не ограничиваясь фактами подачи/получения любых </w:t>
      </w:r>
      <w:r w:rsidR="000F7270" w:rsidRPr="00B25B83">
        <w:t>С</w:t>
      </w:r>
      <w:r w:rsidR="00810304" w:rsidRPr="00B25B83">
        <w:t>ообщений</w:t>
      </w:r>
      <w:r w:rsidRPr="00B25B83">
        <w:t>, переданных с использованием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>, в том числе подачи Банку Поручений Клиента, изменения, либо отмены поданн</w:t>
      </w:r>
      <w:r w:rsidR="00082767" w:rsidRPr="00B25B83">
        <w:t>ых</w:t>
      </w:r>
      <w:r w:rsidRPr="00B25B83">
        <w:t xml:space="preserve"> Банку Поручени</w:t>
      </w:r>
      <w:r w:rsidR="00082767" w:rsidRPr="00B25B83">
        <w:t>й</w:t>
      </w:r>
      <w:r w:rsidRPr="00B25B83">
        <w:t xml:space="preserve"> Клиента посредством ИТС</w:t>
      </w:r>
      <w:r w:rsidR="008F5B70" w:rsidRPr="00B25B83">
        <w:t xml:space="preserve"> QUIK</w:t>
      </w:r>
      <w:r w:rsidR="00082767" w:rsidRPr="00B25B83">
        <w:t>,</w:t>
      </w:r>
      <w:r w:rsidRPr="00B25B83">
        <w:t xml:space="preserve"> </w:t>
      </w:r>
      <w:r w:rsidR="002168B6" w:rsidRPr="00B25B83">
        <w:t xml:space="preserve">осуществляется </w:t>
      </w:r>
      <w:r w:rsidR="003B5282" w:rsidRPr="00B25B83">
        <w:t>сохранение данных (</w:t>
      </w:r>
      <w:r w:rsidR="002168B6" w:rsidRPr="00B25B83">
        <w:t>логирование</w:t>
      </w:r>
      <w:r w:rsidR="003B5282" w:rsidRPr="00B25B83">
        <w:t>)</w:t>
      </w:r>
      <w:r w:rsidR="002168B6" w:rsidRPr="00B25B83">
        <w:t xml:space="preserve"> действий </w:t>
      </w:r>
      <w:r w:rsidR="003B5282" w:rsidRPr="00B25B83">
        <w:t>К</w:t>
      </w:r>
      <w:r w:rsidR="002168B6" w:rsidRPr="00B25B83">
        <w:t>лиентов по совершаемым транзакциям.</w:t>
      </w:r>
      <w:r w:rsidRPr="00B25B83">
        <w:t xml:space="preserve"> Срок хранения Банком </w:t>
      </w:r>
      <w:r w:rsidR="003B5282" w:rsidRPr="00B25B83">
        <w:t>данных (</w:t>
      </w:r>
      <w:r w:rsidR="002168B6" w:rsidRPr="00B25B83">
        <w:t>логов</w:t>
      </w:r>
      <w:r w:rsidR="003B5282" w:rsidRPr="00B25B83">
        <w:t>)</w:t>
      </w:r>
      <w:r w:rsidR="002168B6" w:rsidRPr="00B25B83">
        <w:t xml:space="preserve"> по транзакциям</w:t>
      </w:r>
      <w:r w:rsidRPr="00B25B83">
        <w:t xml:space="preserve"> составляет не менее </w:t>
      </w:r>
      <w:r w:rsidR="00F478EA">
        <w:t>3 (</w:t>
      </w:r>
      <w:r w:rsidRPr="00B25B83">
        <w:t>тр</w:t>
      </w:r>
      <w:r w:rsidR="00F478EA">
        <w:t>ё</w:t>
      </w:r>
      <w:r w:rsidRPr="00B25B83">
        <w:t>х</w:t>
      </w:r>
      <w:r w:rsidR="00F478EA">
        <w:t>)</w:t>
      </w:r>
      <w:r w:rsidRPr="00B25B83">
        <w:t xml:space="preserve"> лет.</w:t>
      </w:r>
    </w:p>
    <w:p w14:paraId="12AB8EFB" w14:textId="77777777" w:rsidR="00EB3F36" w:rsidRPr="00B25B83" w:rsidRDefault="00EB3F36" w:rsidP="001E549B">
      <w:pPr>
        <w:pStyle w:val="3"/>
      </w:pPr>
      <w:bookmarkStart w:id="2" w:name="_Toc495213074"/>
      <w:bookmarkStart w:id="3" w:name="_Toc496939999"/>
      <w:bookmarkStart w:id="4" w:name="_Toc496940347"/>
      <w:bookmarkStart w:id="5" w:name="РеглСтатья3_1"/>
      <w:r w:rsidRPr="00B25B83">
        <w:t>Если Клиент устанавливает ИТС</w:t>
      </w:r>
      <w:r w:rsidR="007244EF" w:rsidRPr="00B25B83">
        <w:t xml:space="preserve"> </w:t>
      </w:r>
      <w:r w:rsidR="007244EF" w:rsidRPr="00B25B83">
        <w:rPr>
          <w:lang w:val="en-US"/>
        </w:rPr>
        <w:t>QUIK</w:t>
      </w:r>
      <w:r w:rsidRPr="00B25B83">
        <w:t>:</w:t>
      </w:r>
    </w:p>
    <w:p w14:paraId="5A98DF9D" w14:textId="70E4B0AF" w:rsidR="00670E73" w:rsidRPr="00B25B83" w:rsidRDefault="00C613CC" w:rsidP="009913F8">
      <w:pPr>
        <w:pStyle w:val="4"/>
      </w:pPr>
      <w:r w:rsidRPr="00B25B83">
        <w:t>Клиент оформляет и направляет в Банк Заявление на присоединение к Регламенту (Приложение №1</w:t>
      </w:r>
      <w:r w:rsidR="00CE7F70" w:rsidRPr="00B25B83">
        <w:t>/1а</w:t>
      </w:r>
      <w:r w:rsidRPr="00B25B83">
        <w:t xml:space="preserve"> к Регламенту) в случае заключения Соглашения </w:t>
      </w:r>
      <w:r w:rsidR="00A60896" w:rsidRPr="00B25B83">
        <w:t>и/</w:t>
      </w:r>
      <w:r w:rsidRPr="00B25B83">
        <w:t>или Заявку на использование ИТС QUIK (Приложение №1</w:t>
      </w:r>
      <w:r w:rsidR="001437E5">
        <w:t>4а</w:t>
      </w:r>
      <w:r w:rsidRPr="00B25B83">
        <w:t xml:space="preserve"> к Порядку) при наличии ранее заключенного Соглашения.</w:t>
      </w:r>
    </w:p>
    <w:p w14:paraId="35C77F39" w14:textId="77777777" w:rsidR="00670E73" w:rsidRPr="00B25B83" w:rsidRDefault="002F28F9" w:rsidP="009913F8">
      <w:pPr>
        <w:pStyle w:val="4"/>
      </w:pPr>
      <w:r w:rsidRPr="00B25B83">
        <w:t xml:space="preserve">Банк предоставляет Клиенту право использования ИТС </w:t>
      </w:r>
      <w:r w:rsidRPr="00B25B83">
        <w:rPr>
          <w:lang w:val="en-US"/>
        </w:rPr>
        <w:t>QUIK</w:t>
      </w:r>
      <w:r w:rsidR="0040790C" w:rsidRPr="00B25B83">
        <w:t xml:space="preserve"> </w:t>
      </w:r>
      <w:r w:rsidR="00A225AE" w:rsidRPr="00B25B83">
        <w:t xml:space="preserve">после </w:t>
      </w:r>
      <w:r w:rsidR="0040790C" w:rsidRPr="00B25B83">
        <w:t>подписания</w:t>
      </w:r>
      <w:r w:rsidR="00A50CD5" w:rsidRPr="00B25B83">
        <w:t>:</w:t>
      </w:r>
    </w:p>
    <w:p w14:paraId="41688AD8" w14:textId="52659580" w:rsidR="00A50CD5" w:rsidRPr="00B25B83" w:rsidRDefault="00A50CD5" w:rsidP="009C29ED">
      <w:pPr>
        <w:pStyle w:val="1-"/>
        <w:ind w:left="851" w:hanging="284"/>
      </w:pPr>
      <w:r w:rsidRPr="00B25B83">
        <w:t>Акт</w:t>
      </w:r>
      <w:r w:rsidR="00670E73" w:rsidRPr="00B25B83">
        <w:t>а</w:t>
      </w:r>
      <w:r w:rsidRPr="00B25B83">
        <w:t xml:space="preserve"> приема-передачи Ключей </w:t>
      </w:r>
      <w:r w:rsidR="00E62593" w:rsidRPr="00B25B83">
        <w:t xml:space="preserve">аутентификации </w:t>
      </w:r>
      <w:r w:rsidRPr="00B25B83">
        <w:t>(Приложение №</w:t>
      </w:r>
      <w:r w:rsidR="001437E5">
        <w:t>14б</w:t>
      </w:r>
      <w:r w:rsidRPr="00B25B83">
        <w:t xml:space="preserve"> к</w:t>
      </w:r>
      <w:r w:rsidR="007C14A2" w:rsidRPr="00B25B83">
        <w:t xml:space="preserve"> Порядку</w:t>
      </w:r>
      <w:r w:rsidRPr="00B25B83">
        <w:t>)</w:t>
      </w:r>
      <w:r w:rsidR="00060B1B" w:rsidRPr="00B25B83">
        <w:t xml:space="preserve">; </w:t>
      </w:r>
    </w:p>
    <w:p w14:paraId="4D67C17F" w14:textId="1519C47A" w:rsidR="00683857" w:rsidRPr="00B25B83" w:rsidRDefault="007D0C8C" w:rsidP="007A53FC">
      <w:pPr>
        <w:pStyle w:val="2"/>
      </w:pPr>
      <w:r w:rsidRPr="00B25B83">
        <w:t>Клиент устанавливает ИТС</w:t>
      </w:r>
      <w:r w:rsidR="00A101A1" w:rsidRPr="00B25B83">
        <w:t xml:space="preserve"> </w:t>
      </w:r>
      <w:r w:rsidR="00A45450" w:rsidRPr="00B25B83">
        <w:rPr>
          <w:lang w:val="en-US"/>
        </w:rPr>
        <w:t>QUIK</w:t>
      </w:r>
      <w:r w:rsidR="00A45450" w:rsidRPr="00B25B83">
        <w:t xml:space="preserve"> </w:t>
      </w:r>
      <w:r w:rsidR="00A101A1" w:rsidRPr="00B25B83">
        <w:t>в соответствии с Приложени</w:t>
      </w:r>
      <w:r w:rsidR="00CE7F70" w:rsidRPr="00B25B83">
        <w:t>ем</w:t>
      </w:r>
      <w:r w:rsidR="00A101A1" w:rsidRPr="00B25B83">
        <w:t xml:space="preserve"> </w:t>
      </w:r>
      <w:r w:rsidR="003B47DF" w:rsidRPr="00B25B83">
        <w:t>№</w:t>
      </w:r>
      <w:r w:rsidR="001437E5">
        <w:t>1</w:t>
      </w:r>
      <w:r w:rsidR="00FD0DE4" w:rsidRPr="00B25B83">
        <w:t>4</w:t>
      </w:r>
      <w:r w:rsidR="001437E5">
        <w:t>г</w:t>
      </w:r>
      <w:r w:rsidR="009312D5" w:rsidRPr="00B25B83">
        <w:t xml:space="preserve"> </w:t>
      </w:r>
      <w:r w:rsidR="00100CC8" w:rsidRPr="00B25B83">
        <w:t xml:space="preserve">к </w:t>
      </w:r>
      <w:r w:rsidR="00C36E93" w:rsidRPr="00B25B83">
        <w:t>настоящему Порядку</w:t>
      </w:r>
      <w:r w:rsidR="006C1DC8" w:rsidRPr="00B25B83">
        <w:t>.</w:t>
      </w:r>
    </w:p>
    <w:bookmarkEnd w:id="2"/>
    <w:bookmarkEnd w:id="3"/>
    <w:bookmarkEnd w:id="4"/>
    <w:bookmarkEnd w:id="5"/>
    <w:p w14:paraId="20770BB7" w14:textId="66AAA3DF" w:rsidR="005E758D" w:rsidRPr="00B25B83" w:rsidRDefault="00CD383C" w:rsidP="007A53FC">
      <w:pPr>
        <w:pStyle w:val="2"/>
      </w:pPr>
      <w:r w:rsidRPr="00B25B83">
        <w:t xml:space="preserve">Стороны </w:t>
      </w:r>
      <w:r w:rsidR="005E758D" w:rsidRPr="00B25B83">
        <w:t>призна</w:t>
      </w:r>
      <w:r w:rsidRPr="00B25B83">
        <w:t>ю</w:t>
      </w:r>
      <w:r w:rsidR="005E758D" w:rsidRPr="00B25B83">
        <w:t xml:space="preserve">т, что Поручения Клиента, </w:t>
      </w:r>
      <w:r w:rsidRPr="00B25B83">
        <w:t>подписанн</w:t>
      </w:r>
      <w:r w:rsidR="00BF37EB" w:rsidRPr="00B25B83">
        <w:t>ы</w:t>
      </w:r>
      <w:r w:rsidRPr="00B25B83">
        <w:t>е Простой ЭП</w:t>
      </w:r>
      <w:r w:rsidR="00BF37EB" w:rsidRPr="00B25B83">
        <w:t xml:space="preserve"> в соответствии с условиями Порядка,</w:t>
      </w:r>
      <w:r w:rsidRPr="00B25B83">
        <w:t xml:space="preserve"> призна</w:t>
      </w:r>
      <w:r w:rsidR="00BF37EB" w:rsidRPr="00B25B83">
        <w:t>ю</w:t>
      </w:r>
      <w:r w:rsidRPr="00B25B83">
        <w:t>тся электронным</w:t>
      </w:r>
      <w:r w:rsidR="00BF37EB" w:rsidRPr="00B25B83">
        <w:t>и</w:t>
      </w:r>
      <w:r w:rsidRPr="00B25B83">
        <w:t xml:space="preserve"> документ</w:t>
      </w:r>
      <w:r w:rsidR="00BF37EB" w:rsidRPr="00B25B83">
        <w:t>ами</w:t>
      </w:r>
      <w:r w:rsidRPr="00B25B83">
        <w:t>, равнозначным</w:t>
      </w:r>
      <w:r w:rsidR="00BF37EB" w:rsidRPr="00B25B83">
        <w:t>и</w:t>
      </w:r>
      <w:r w:rsidRPr="00B25B83">
        <w:t xml:space="preserve"> докумен</w:t>
      </w:r>
      <w:r w:rsidR="00BF37EB" w:rsidRPr="00B25B83">
        <w:t>там</w:t>
      </w:r>
      <w:r w:rsidRPr="00B25B83">
        <w:t xml:space="preserve"> на бумажном носителе, подписанн</w:t>
      </w:r>
      <w:r w:rsidR="00BF37EB" w:rsidRPr="00B25B83">
        <w:t>ым</w:t>
      </w:r>
      <w:r w:rsidRPr="00B25B83">
        <w:t xml:space="preserve"> собственноручн</w:t>
      </w:r>
      <w:r w:rsidR="00BF37EB" w:rsidRPr="00B25B83">
        <w:t>ыми</w:t>
      </w:r>
      <w:r w:rsidRPr="00B25B83">
        <w:t xml:space="preserve"> подпис</w:t>
      </w:r>
      <w:r w:rsidR="00BF37EB" w:rsidRPr="00B25B83">
        <w:t xml:space="preserve">ями </w:t>
      </w:r>
      <w:r w:rsidR="004463B0" w:rsidRPr="00B25B83">
        <w:t>Клиента</w:t>
      </w:r>
      <w:r w:rsidR="005E758D" w:rsidRPr="00B25B83">
        <w:t>.</w:t>
      </w:r>
    </w:p>
    <w:p w14:paraId="12093883" w14:textId="5E4D820F" w:rsidR="005E758D" w:rsidRPr="00B25B83" w:rsidRDefault="005E758D" w:rsidP="006D5859">
      <w:pPr>
        <w:ind w:left="851" w:firstLine="436"/>
        <w:rPr>
          <w:i/>
        </w:rPr>
      </w:pPr>
      <w:r w:rsidRPr="00B25B83">
        <w:t>Поручения Клиента, созданные и/или переданные с использованием ИТС</w:t>
      </w:r>
      <w:r w:rsidR="00906275" w:rsidRPr="00B25B83">
        <w:t xml:space="preserve"> </w:t>
      </w:r>
      <w:r w:rsidR="00906275" w:rsidRPr="00B25B83">
        <w:rPr>
          <w:lang w:val="en-US"/>
        </w:rPr>
        <w:t>QUIK</w:t>
      </w:r>
      <w:r w:rsidRPr="00B25B83">
        <w:t>, безусловно признаются Клиентом и Банком в качестве документов, удостоверяющих факт подачи</w:t>
      </w:r>
      <w:r w:rsidR="00082767" w:rsidRPr="00B25B83">
        <w:t xml:space="preserve"> </w:t>
      </w:r>
      <w:r w:rsidRPr="00B25B83">
        <w:t>Поручений</w:t>
      </w:r>
      <w:r w:rsidR="0067072E" w:rsidRPr="00B25B83">
        <w:t xml:space="preserve"> на</w:t>
      </w:r>
      <w:r w:rsidR="00082767" w:rsidRPr="00B25B83">
        <w:t>:</w:t>
      </w:r>
      <w:r w:rsidRPr="00B25B83">
        <w:t xml:space="preserve"> </w:t>
      </w:r>
      <w:r w:rsidR="00082767" w:rsidRPr="00B25B83">
        <w:t>(а)</w:t>
      </w:r>
      <w:r w:rsidR="00D839CF" w:rsidRPr="00B25B83">
        <w:t xml:space="preserve"> </w:t>
      </w:r>
      <w:r w:rsidRPr="00B25B83">
        <w:t xml:space="preserve">совершение сделок с </w:t>
      </w:r>
      <w:r w:rsidR="001437E5">
        <w:rPr>
          <w:snapToGrid w:val="0"/>
        </w:rPr>
        <w:t>ценными бумагами</w:t>
      </w:r>
      <w:r w:rsidR="00662CCB" w:rsidRPr="00B25B83">
        <w:rPr>
          <w:snapToGrid w:val="0"/>
        </w:rPr>
        <w:t xml:space="preserve"> (Приложение №</w:t>
      </w:r>
      <w:r w:rsidR="001437E5">
        <w:rPr>
          <w:snapToGrid w:val="0"/>
        </w:rPr>
        <w:t>7</w:t>
      </w:r>
      <w:r w:rsidR="00662CCB" w:rsidRPr="00B25B83">
        <w:rPr>
          <w:snapToGrid w:val="0"/>
        </w:rPr>
        <w:t xml:space="preserve"> к Регламенту)</w:t>
      </w:r>
      <w:r w:rsidR="00082767" w:rsidRPr="00B25B83">
        <w:rPr>
          <w:snapToGrid w:val="0"/>
        </w:rPr>
        <w:t>; или (б)</w:t>
      </w:r>
      <w:r w:rsidR="00D839CF" w:rsidRPr="00B25B83">
        <w:rPr>
          <w:snapToGrid w:val="0"/>
        </w:rPr>
        <w:t xml:space="preserve"> </w:t>
      </w:r>
      <w:r w:rsidRPr="00B25B83">
        <w:t>Неторговые операции (</w:t>
      </w:r>
      <w:hyperlink r:id="rId8" w:history="1">
        <w:r w:rsidR="001437E5" w:rsidRPr="00C36835">
          <w:rPr>
            <w:snapToGrid w:val="0"/>
          </w:rPr>
          <w:t>Требование</w:t>
        </w:r>
      </w:hyperlink>
      <w:r w:rsidR="001437E5" w:rsidRPr="00C36835">
        <w:rPr>
          <w:snapToGrid w:val="0"/>
        </w:rPr>
        <w:t xml:space="preserve"> клиента на вывод денежных средств</w:t>
      </w:r>
      <w:r w:rsidR="001437E5" w:rsidRPr="00B25B83">
        <w:t xml:space="preserve"> </w:t>
      </w:r>
      <w:r w:rsidRPr="00B25B83">
        <w:t>(Приложение №</w:t>
      </w:r>
      <w:r w:rsidR="001437E5">
        <w:t>8</w:t>
      </w:r>
      <w:r w:rsidRPr="00B25B83">
        <w:t xml:space="preserve"> к Регламенту) и/или Поручение на изменение Позиции Клиента в Торговой системе (Приложение </w:t>
      </w:r>
      <w:r w:rsidRPr="00B25B83">
        <w:lastRenderedPageBreak/>
        <w:t>№</w:t>
      </w:r>
      <w:r w:rsidR="001437E5">
        <w:t>8а</w:t>
      </w:r>
      <w:r w:rsidRPr="00B25B83">
        <w:t xml:space="preserve"> к Регламенту) и/или Поручение на осуществление операции </w:t>
      </w:r>
      <w:r w:rsidR="009312D5" w:rsidRPr="00B25B83">
        <w:t xml:space="preserve">по </w:t>
      </w:r>
      <w:r w:rsidRPr="00B25B83">
        <w:t xml:space="preserve"> счет</w:t>
      </w:r>
      <w:r w:rsidR="009312D5" w:rsidRPr="00B25B83">
        <w:t>у</w:t>
      </w:r>
      <w:r w:rsidRPr="00B25B83">
        <w:t xml:space="preserve"> депо (Приложение №1</w:t>
      </w:r>
      <w:r w:rsidR="001437E5">
        <w:t>0</w:t>
      </w:r>
      <w:r w:rsidRPr="00B25B83">
        <w:t xml:space="preserve"> к Регламенту))</w:t>
      </w:r>
      <w:r w:rsidR="00082767" w:rsidRPr="00B25B83">
        <w:t>,</w:t>
      </w:r>
      <w:r w:rsidRPr="00B25B83">
        <w:t xml:space="preserve"> адресованные Банку</w:t>
      </w:r>
      <w:r w:rsidRPr="00B25B83">
        <w:rPr>
          <w:snapToGrid w:val="0"/>
        </w:rPr>
        <w:t xml:space="preserve"> и переданные через ИТС</w:t>
      </w:r>
      <w:r w:rsidR="00A45450" w:rsidRPr="00B25B83">
        <w:rPr>
          <w:snapToGrid w:val="0"/>
        </w:rPr>
        <w:t xml:space="preserve"> </w:t>
      </w:r>
      <w:r w:rsidR="00A45450" w:rsidRPr="00B25B83">
        <w:rPr>
          <w:lang w:val="en-US"/>
        </w:rPr>
        <w:t>QUIK</w:t>
      </w:r>
      <w:r w:rsidR="00082767" w:rsidRPr="00B25B83">
        <w:rPr>
          <w:snapToGrid w:val="0"/>
        </w:rPr>
        <w:t>,</w:t>
      </w:r>
      <w:r w:rsidRPr="00B25B83">
        <w:rPr>
          <w:snapToGrid w:val="0"/>
        </w:rPr>
        <w:t xml:space="preserve"> и могут быть использованы в качестве </w:t>
      </w:r>
      <w:r w:rsidR="00BC3CB2" w:rsidRPr="00B25B83">
        <w:rPr>
          <w:snapToGrid w:val="0"/>
        </w:rPr>
        <w:t xml:space="preserve">допустимого и </w:t>
      </w:r>
      <w:r w:rsidRPr="00B25B83">
        <w:rPr>
          <w:snapToGrid w:val="0"/>
        </w:rPr>
        <w:t>достаточного доказательства при решении споров в суде.</w:t>
      </w:r>
    </w:p>
    <w:p w14:paraId="06C9A294" w14:textId="77777777" w:rsidR="007D0C8C" w:rsidRPr="00B25B83" w:rsidRDefault="007D0C8C" w:rsidP="001E549B">
      <w:pPr>
        <w:pStyle w:val="3"/>
      </w:pPr>
      <w:r w:rsidRPr="00B25B83">
        <w:t xml:space="preserve">Банк может отказать в </w:t>
      </w:r>
      <w:r w:rsidR="00B96896" w:rsidRPr="00B25B83">
        <w:t>предоставлении услуг, предусмотренных настоящим Порядком,</w:t>
      </w:r>
      <w:r w:rsidRPr="00B25B83">
        <w:t xml:space="preserve"> по следующим причинам</w:t>
      </w:r>
      <w:r w:rsidR="00D10F70" w:rsidRPr="00B25B83">
        <w:t xml:space="preserve"> (включая, но не ограничиваясь)</w:t>
      </w:r>
      <w:r w:rsidRPr="00B25B83">
        <w:t>:</w:t>
      </w:r>
    </w:p>
    <w:p w14:paraId="006EC8F5" w14:textId="77777777" w:rsidR="007D0C8C" w:rsidRPr="00B25B83" w:rsidRDefault="007D0C8C" w:rsidP="009913F8">
      <w:pPr>
        <w:pStyle w:val="4"/>
      </w:pPr>
      <w:r w:rsidRPr="00B25B83">
        <w:t xml:space="preserve">нарушение Клиентом каких-либо </w:t>
      </w:r>
      <w:r w:rsidR="009422C3" w:rsidRPr="00B25B83">
        <w:t xml:space="preserve">положений </w:t>
      </w:r>
      <w:r w:rsidRPr="00B25B83">
        <w:t>Соглашения;</w:t>
      </w:r>
    </w:p>
    <w:p w14:paraId="35201388" w14:textId="77777777" w:rsidR="007D0C8C" w:rsidRPr="00B25B83" w:rsidRDefault="007D0C8C" w:rsidP="009913F8">
      <w:pPr>
        <w:pStyle w:val="4"/>
      </w:pPr>
      <w:r w:rsidRPr="00B25B83">
        <w:t xml:space="preserve">наличие у Банка информации, </w:t>
      </w:r>
      <w:r w:rsidR="007907D6" w:rsidRPr="00B25B83">
        <w:t xml:space="preserve">которая </w:t>
      </w:r>
      <w:r w:rsidRPr="00B25B83">
        <w:t>препятству</w:t>
      </w:r>
      <w:r w:rsidR="007907D6" w:rsidRPr="00B25B83">
        <w:t>ет</w:t>
      </w:r>
      <w:r w:rsidRPr="00B25B83">
        <w:t xml:space="preserve"> или может </w:t>
      </w:r>
      <w:r w:rsidR="007907D6" w:rsidRPr="00B25B83">
        <w:t>вос</w:t>
      </w:r>
      <w:r w:rsidRPr="00B25B83">
        <w:t>препятствовать в будущем оказанию Клиенту услуг по настоящему Порядку;</w:t>
      </w:r>
    </w:p>
    <w:p w14:paraId="2A9A088C" w14:textId="77777777" w:rsidR="007D0C8C" w:rsidRPr="00B25B83" w:rsidRDefault="007D0C8C" w:rsidP="009913F8">
      <w:pPr>
        <w:pStyle w:val="4"/>
      </w:pPr>
      <w:r w:rsidRPr="00B25B83">
        <w:t>технические проблемы/сбои, временно не позволяющие осуществить действия, необходимые для начала предоставления Клиенту услуг по настоящему Порядку</w:t>
      </w:r>
      <w:r w:rsidR="007907D6" w:rsidRPr="00B25B83">
        <w:t>.</w:t>
      </w:r>
    </w:p>
    <w:p w14:paraId="7246B46B" w14:textId="77777777" w:rsidR="007D0C8C" w:rsidRPr="00B25B83" w:rsidRDefault="007D0C8C" w:rsidP="007A53FC">
      <w:pPr>
        <w:pStyle w:val="2"/>
      </w:pPr>
      <w:bookmarkStart w:id="6" w:name="_Toc253733732"/>
      <w:bookmarkStart w:id="7" w:name="_Toc253733736"/>
      <w:bookmarkStart w:id="8" w:name="_Toc253733737"/>
      <w:bookmarkEnd w:id="6"/>
      <w:bookmarkEnd w:id="7"/>
      <w:bookmarkEnd w:id="8"/>
      <w:r w:rsidRPr="00B25B83">
        <w:t>Особенности приема Банком Поручений посредством ИТС</w:t>
      </w:r>
      <w:r w:rsidR="00960B8B" w:rsidRPr="00B25B83">
        <w:t xml:space="preserve"> </w:t>
      </w:r>
      <w:r w:rsidR="00960B8B" w:rsidRPr="00B25B83">
        <w:rPr>
          <w:lang w:val="en-US"/>
        </w:rPr>
        <w:t>QUIK</w:t>
      </w:r>
      <w:r w:rsidRPr="00B25B83">
        <w:t>:</w:t>
      </w:r>
    </w:p>
    <w:p w14:paraId="1D844EFE" w14:textId="77777777" w:rsidR="005E758D" w:rsidRPr="00B25B83" w:rsidRDefault="005E758D" w:rsidP="001E549B">
      <w:pPr>
        <w:pStyle w:val="3"/>
      </w:pPr>
      <w:r w:rsidRPr="00B25B83">
        <w:t>Все Поручения Клиента, созданные и/или переданные с использованием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, принимаются Банком к исполнению наравне с </w:t>
      </w:r>
      <w:r w:rsidR="00F92416" w:rsidRPr="00B25B83">
        <w:t xml:space="preserve">Поручениями, </w:t>
      </w:r>
      <w:r w:rsidRPr="00B25B83">
        <w:t xml:space="preserve">поданными иными предусмотренными Соглашением способами. Поручения Клиента, содержащие одинаковые обязательные элементы, но по каким-либо причинам поданные Клиентом в различных формах и/или различными способами, рассматриваются Банком как разные Поручения Клиента, каждое из которых подлежит исполнению в соответствии с Соглашением, если иное не согласовано Сторонами отдельно в соответствующем Поручении Клиента при подаче каждого такого </w:t>
      </w:r>
      <w:r w:rsidR="00F92416" w:rsidRPr="00B25B83">
        <w:t>П</w:t>
      </w:r>
      <w:r w:rsidRPr="00B25B83">
        <w:t>оручения.</w:t>
      </w:r>
    </w:p>
    <w:p w14:paraId="77D72788" w14:textId="77777777" w:rsidR="005E758D" w:rsidRPr="00B25B83" w:rsidRDefault="001E549B" w:rsidP="001E549B">
      <w:pPr>
        <w:pStyle w:val="3"/>
        <w:numPr>
          <w:ilvl w:val="0"/>
          <w:numId w:val="0"/>
        </w:numPr>
        <w:ind w:left="851"/>
      </w:pPr>
      <w:r w:rsidRPr="00B25B83">
        <w:tab/>
      </w:r>
      <w:r w:rsidR="005E758D" w:rsidRPr="00B25B83">
        <w:t>Обязательными элементами Поручени</w:t>
      </w:r>
      <w:r w:rsidR="00BB2447" w:rsidRPr="00B25B83">
        <w:t>й</w:t>
      </w:r>
      <w:r w:rsidR="005E758D" w:rsidRPr="00B25B83">
        <w:t xml:space="preserve"> Клиента, создаваемых и/или передаваемых с использованием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="005E758D" w:rsidRPr="00B25B83">
        <w:t>, являются элементы, ввод (заполнение) которых является необходимым для надлежащей работы ИТС</w:t>
      </w:r>
      <w:r w:rsidR="00ED05FA" w:rsidRPr="00B25B83">
        <w:t xml:space="preserve"> </w:t>
      </w:r>
      <w:r w:rsidR="00ED05FA" w:rsidRPr="00B25B83">
        <w:rPr>
          <w:lang w:val="en-US"/>
        </w:rPr>
        <w:t>QUIK</w:t>
      </w:r>
      <w:r w:rsidR="007D0C8C" w:rsidRPr="00B25B83">
        <w:t>.</w:t>
      </w:r>
    </w:p>
    <w:p w14:paraId="141494A1" w14:textId="77777777" w:rsidR="007D0C8C" w:rsidRPr="00B25B83" w:rsidRDefault="007D0C8C" w:rsidP="001E549B">
      <w:pPr>
        <w:pStyle w:val="3"/>
      </w:pPr>
      <w:r w:rsidRPr="00B25B83">
        <w:t>Учитывая возможности, предоставляемые Торговой системой и разработчик</w:t>
      </w:r>
      <w:r w:rsidR="00E44F2E" w:rsidRPr="00B25B83">
        <w:t>ом</w:t>
      </w:r>
      <w:r w:rsidR="002A35EE" w:rsidRPr="00B25B83">
        <w:t xml:space="preserve"> ИТС</w:t>
      </w:r>
      <w:r w:rsidR="00960B8B" w:rsidRPr="00B25B83">
        <w:t xml:space="preserve"> </w:t>
      </w:r>
      <w:r w:rsidR="00960B8B" w:rsidRPr="00B25B83">
        <w:rPr>
          <w:lang w:val="en-US"/>
        </w:rPr>
        <w:t>QUIK</w:t>
      </w:r>
      <w:r w:rsidRPr="00B25B83">
        <w:t xml:space="preserve">, ИТС </w:t>
      </w:r>
      <w:r w:rsidR="00960B8B" w:rsidRPr="00B25B83">
        <w:rPr>
          <w:lang w:val="en-US"/>
        </w:rPr>
        <w:t>QUIK</w:t>
      </w:r>
      <w:r w:rsidR="00960B8B" w:rsidRPr="00B25B83">
        <w:t xml:space="preserve"> </w:t>
      </w:r>
      <w:r w:rsidRPr="00B25B83">
        <w:t>может допускать ввод Поручений</w:t>
      </w:r>
      <w:r w:rsidR="003B47DF" w:rsidRPr="00B25B83">
        <w:t xml:space="preserve"> Клиента</w:t>
      </w:r>
      <w:r w:rsidRPr="00B25B83">
        <w:t>, тип которых отлич</w:t>
      </w:r>
      <w:r w:rsidR="00ED05FA" w:rsidRPr="00B25B83">
        <w:t>а</w:t>
      </w:r>
      <w:r w:rsidRPr="00B25B83">
        <w:t>е</w:t>
      </w:r>
      <w:r w:rsidR="00ED05FA" w:rsidRPr="00B25B83">
        <w:t>тся</w:t>
      </w:r>
      <w:r w:rsidRPr="00B25B83">
        <w:t xml:space="preserve"> от описанных в Соглашении или </w:t>
      </w:r>
      <w:r w:rsidR="00BB2447" w:rsidRPr="00B25B83">
        <w:t xml:space="preserve">содержащих </w:t>
      </w:r>
      <w:r w:rsidRPr="00B25B83">
        <w:t xml:space="preserve">отличные элементы и/или дополнительные спецификаторы. </w:t>
      </w:r>
      <w:r w:rsidR="0030422B" w:rsidRPr="00B25B83">
        <w:t>Е</w:t>
      </w:r>
      <w:r w:rsidRPr="00B25B83">
        <w:t xml:space="preserve">сли иное не установлено Банком </w:t>
      </w:r>
      <w:r w:rsidR="0030422B" w:rsidRPr="00B25B83">
        <w:t>в одностороннем порядке</w:t>
      </w:r>
      <w:r w:rsidRPr="00B25B83">
        <w:t>, все типы Поручений</w:t>
      </w:r>
      <w:r w:rsidR="003B47DF" w:rsidRPr="00B25B83">
        <w:t xml:space="preserve"> Клиента</w:t>
      </w:r>
      <w:r w:rsidRPr="00B25B83">
        <w:t>, а также любые их элементы и/или дополнительные спецификаторы, реализованные и допустимые к использованию в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>, признаются Сторонами допустимыми при осуществлении ими взаимодействия в рамках настоящего Порядка и Соглашения.</w:t>
      </w:r>
    </w:p>
    <w:p w14:paraId="7496A0A7" w14:textId="77777777" w:rsidR="007D0C8C" w:rsidRPr="00B25B83" w:rsidRDefault="007D0C8C" w:rsidP="001E549B">
      <w:pPr>
        <w:pStyle w:val="3"/>
      </w:pPr>
      <w:r w:rsidRPr="00B25B83">
        <w:t>При этом использование предоставленных Торговой системой и разработчик</w:t>
      </w:r>
      <w:r w:rsidR="00E44F2E" w:rsidRPr="00B25B83">
        <w:t>ом</w:t>
      </w:r>
      <w:r w:rsidRPr="00B25B83">
        <w:t xml:space="preserve"> </w:t>
      </w:r>
      <w:r w:rsidR="0030422B" w:rsidRPr="00B25B83">
        <w:t xml:space="preserve">ИТС </w:t>
      </w:r>
      <w:r w:rsidR="0030422B" w:rsidRPr="00B25B83">
        <w:rPr>
          <w:lang w:val="en-US"/>
        </w:rPr>
        <w:t>QUIK</w:t>
      </w:r>
      <w:r w:rsidR="0030422B" w:rsidRPr="00B25B83">
        <w:t xml:space="preserve"> </w:t>
      </w:r>
      <w:r w:rsidRPr="00B25B83">
        <w:t>возможностей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 может приводить к определенным ограничениям в использовании предусмотренных Соглашением типов Поручений Клиента и/или их элементов или дополнительных спецификаторов. </w:t>
      </w:r>
      <w:r w:rsidR="0030422B" w:rsidRPr="00B25B83">
        <w:t>Указанные</w:t>
      </w:r>
      <w:r w:rsidRPr="00B25B83">
        <w:t xml:space="preserve"> ограничени</w:t>
      </w:r>
      <w:r w:rsidR="0030422B" w:rsidRPr="00B25B83">
        <w:t>я</w:t>
      </w:r>
      <w:r w:rsidRPr="00B25B83">
        <w:t xml:space="preserve"> при осуществлении Сторонами взаимодействия в рамках настоящего Порядка призна</w:t>
      </w:r>
      <w:r w:rsidR="0030422B" w:rsidRPr="00B25B83">
        <w:t>ю</w:t>
      </w:r>
      <w:r w:rsidRPr="00B25B83">
        <w:t>тся Сторонами</w:t>
      </w:r>
      <w:r w:rsidR="00757D1F" w:rsidRPr="00B25B83">
        <w:t>,</w:t>
      </w:r>
      <w:r w:rsidRPr="00B25B83">
        <w:t xml:space="preserve"> не наруша</w:t>
      </w:r>
      <w:r w:rsidR="0030422B" w:rsidRPr="00B25B83">
        <w:t>ющими</w:t>
      </w:r>
      <w:r w:rsidRPr="00B25B83">
        <w:t xml:space="preserve"> взаимных прав и обязанностей Сторон.</w:t>
      </w:r>
    </w:p>
    <w:p w14:paraId="519E2166" w14:textId="77777777" w:rsidR="007D0C8C" w:rsidRPr="00B25B83" w:rsidRDefault="005E758D" w:rsidP="001E549B">
      <w:pPr>
        <w:pStyle w:val="3"/>
      </w:pPr>
      <w:r w:rsidRPr="00B25B83">
        <w:t>Настоящим Стороны договорились, что все Поручения Клиента, создаваемые и/или передаваемые Клиентом посредством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, имеют срок действия в соответствии с функциональными возможностями ИТС </w:t>
      </w:r>
      <w:r w:rsidR="00424C54" w:rsidRPr="00B25B83">
        <w:rPr>
          <w:lang w:val="en-US"/>
        </w:rPr>
        <w:t>QUIK</w:t>
      </w:r>
      <w:r w:rsidR="00424C54" w:rsidRPr="00B25B83">
        <w:t xml:space="preserve"> </w:t>
      </w:r>
      <w:r w:rsidRPr="00B25B83">
        <w:t xml:space="preserve">и Торговых систем и указываются Клиентом в электронной форме Поручения Клиента </w:t>
      </w:r>
      <w:r w:rsidR="00A45450" w:rsidRPr="00B25B83">
        <w:t xml:space="preserve">в </w:t>
      </w:r>
      <w:r w:rsidRPr="00B25B83">
        <w:t>ИТС</w:t>
      </w:r>
      <w:r w:rsidR="003B47DF" w:rsidRPr="00B25B83">
        <w:t xml:space="preserve"> </w:t>
      </w:r>
      <w:r w:rsidR="003B47DF" w:rsidRPr="00B25B83">
        <w:rPr>
          <w:lang w:val="en-US"/>
        </w:rPr>
        <w:t>QUIK</w:t>
      </w:r>
      <w:r w:rsidR="007D0C8C" w:rsidRPr="00B25B83">
        <w:t>.</w:t>
      </w:r>
    </w:p>
    <w:p w14:paraId="3A743446" w14:textId="77777777" w:rsidR="007D0C8C" w:rsidRPr="00B25B83" w:rsidRDefault="007D0C8C" w:rsidP="001E549B">
      <w:pPr>
        <w:pStyle w:val="3"/>
      </w:pPr>
      <w:r w:rsidRPr="00B25B83">
        <w:t>Учитывая возможности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, Стороны настоящим договорились использовать (только при взаимодействии по настоящему Порядку) элементы и/или </w:t>
      </w:r>
      <w:r w:rsidRPr="00B25B83">
        <w:lastRenderedPageBreak/>
        <w:t xml:space="preserve">спецификаторы </w:t>
      </w:r>
      <w:r w:rsidR="006A6DC6" w:rsidRPr="00B25B83">
        <w:rPr>
          <w:snapToGrid w:val="0"/>
        </w:rPr>
        <w:t>И</w:t>
      </w:r>
      <w:r w:rsidRPr="00B25B83">
        <w:rPr>
          <w:snapToGrid w:val="0"/>
        </w:rPr>
        <w:t>нструментов</w:t>
      </w:r>
      <w:r w:rsidR="006A6DC6" w:rsidRPr="00B25B83">
        <w:rPr>
          <w:snapToGrid w:val="0"/>
        </w:rPr>
        <w:t xml:space="preserve"> финансового рынка</w:t>
      </w:r>
      <w:r w:rsidRPr="00B25B83">
        <w:rPr>
          <w:snapToGrid w:val="0"/>
        </w:rPr>
        <w:t>, установленные и определенные ИТС</w:t>
      </w:r>
      <w:r w:rsidR="00A45450" w:rsidRPr="00B25B83">
        <w:rPr>
          <w:snapToGrid w:val="0"/>
        </w:rPr>
        <w:t xml:space="preserve"> </w:t>
      </w:r>
      <w:r w:rsidR="00A45450" w:rsidRPr="00B25B83">
        <w:rPr>
          <w:lang w:val="en-US"/>
        </w:rPr>
        <w:t>QUIK</w:t>
      </w:r>
      <w:r w:rsidRPr="00B25B83">
        <w:t>.</w:t>
      </w:r>
    </w:p>
    <w:p w14:paraId="170642B0" w14:textId="77777777" w:rsidR="007D0C8C" w:rsidRPr="00B25B83" w:rsidRDefault="005E758D" w:rsidP="001E549B">
      <w:pPr>
        <w:pStyle w:val="3"/>
      </w:pPr>
      <w:r w:rsidRPr="00B25B83">
        <w:t>Регистрация Поручений Клиента, создаваемых и/или передаваемых Клиентом с использованием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>, и присвоение им входящего номера, ссылка на который обязательна при дальнейшем взаимодействии Сторон, связанным с конкретным Поручением Клиента (процедура идентификации Поручений Клиента), осуществляется средствами ИТС</w:t>
      </w:r>
      <w:r w:rsidR="00424C54" w:rsidRPr="00B25B83">
        <w:t xml:space="preserve"> </w:t>
      </w:r>
      <w:r w:rsidR="00424C54" w:rsidRPr="00B25B83">
        <w:rPr>
          <w:lang w:val="en-US"/>
        </w:rPr>
        <w:t>QUIK</w:t>
      </w:r>
      <w:r w:rsidR="007D0C8C" w:rsidRPr="00B25B83">
        <w:t>.</w:t>
      </w:r>
    </w:p>
    <w:p w14:paraId="66392AEF" w14:textId="77777777" w:rsidR="007D0C8C" w:rsidRPr="00B25B83" w:rsidRDefault="007D0C8C" w:rsidP="001E549B">
      <w:pPr>
        <w:pStyle w:val="3"/>
      </w:pPr>
      <w:r w:rsidRPr="00B25B83">
        <w:t>Отмена Поручения Клиента, созданного и/или переданного Клиентом ранее с использованием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="00AC7057" w:rsidRPr="00B25B83">
        <w:t xml:space="preserve"> и/или способами связи</w:t>
      </w:r>
      <w:r w:rsidR="003E52D7" w:rsidRPr="00B25B83">
        <w:t>,</w:t>
      </w:r>
      <w:r w:rsidR="00AC7057" w:rsidRPr="00B25B83">
        <w:t xml:space="preserve"> предусмотренными Регламентом</w:t>
      </w:r>
      <w:r w:rsidRPr="00B25B83">
        <w:t>, осуществляется средствами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 путем выполнения соответствующих команд/осуществления действий, предусмотренных для этих целей функциональными возможностями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>.</w:t>
      </w:r>
    </w:p>
    <w:p w14:paraId="3A30FA3A" w14:textId="77777777" w:rsidR="007D0C8C" w:rsidRPr="00B25B83" w:rsidRDefault="007D0C8C" w:rsidP="001E549B">
      <w:pPr>
        <w:pStyle w:val="3"/>
      </w:pPr>
      <w:r w:rsidRPr="00B25B83">
        <w:t>Исполнение полученных Банком Поручений Клиента, созданных и/или переданных Клиентом с использованием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>, осуществляется в общем порядке, предусмотренном Соглашением.</w:t>
      </w:r>
    </w:p>
    <w:p w14:paraId="03FC5007" w14:textId="77777777" w:rsidR="007D0C8C" w:rsidRPr="00B25B83" w:rsidRDefault="007D0C8C" w:rsidP="001E549B">
      <w:pPr>
        <w:pStyle w:val="3"/>
      </w:pPr>
      <w:r w:rsidRPr="00B25B83">
        <w:t xml:space="preserve">Приостановка доступа Клиента к ИТС </w:t>
      </w:r>
      <w:r w:rsidR="00A45450" w:rsidRPr="00B25B83">
        <w:rPr>
          <w:lang w:val="en-US"/>
        </w:rPr>
        <w:t>QUIK</w:t>
      </w:r>
      <w:r w:rsidR="00A45450" w:rsidRPr="00B25B83">
        <w:t xml:space="preserve"> </w:t>
      </w:r>
      <w:r w:rsidRPr="00B25B83">
        <w:t>по каким-либо</w:t>
      </w:r>
      <w:r w:rsidR="007E58A7" w:rsidRPr="00B25B83">
        <w:t xml:space="preserve"> причинам</w:t>
      </w:r>
      <w:r w:rsidRPr="00B25B83">
        <w:t xml:space="preserve">, в том числе техническим или по причине ограничения Банком доступа Клиента к ИТС </w:t>
      </w:r>
      <w:r w:rsidR="00424C54" w:rsidRPr="00B25B83">
        <w:rPr>
          <w:lang w:val="en-US"/>
        </w:rPr>
        <w:t>QUIK</w:t>
      </w:r>
      <w:r w:rsidR="007E58A7" w:rsidRPr="00B25B83">
        <w:t>,</w:t>
      </w:r>
      <w:r w:rsidR="00424C54" w:rsidRPr="00B25B83">
        <w:t xml:space="preserve"> </w:t>
      </w:r>
      <w:r w:rsidRPr="00B25B83">
        <w:t>не влияет на исполнение Поручений Клиента, поданных до момента приостановки.</w:t>
      </w:r>
    </w:p>
    <w:p w14:paraId="0196BE91" w14:textId="77777777" w:rsidR="007D0C8C" w:rsidRPr="00B25B83" w:rsidRDefault="007D0C8C" w:rsidP="001E549B">
      <w:pPr>
        <w:pStyle w:val="3"/>
      </w:pPr>
      <w:r w:rsidRPr="00B25B83">
        <w:t xml:space="preserve">Все действия, совершенные с Рабочего места Клиента с использованием Ключа </w:t>
      </w:r>
      <w:r w:rsidR="00A00BE1" w:rsidRPr="00B25B83">
        <w:t>ЭП,</w:t>
      </w:r>
      <w:r w:rsidRPr="00B25B83">
        <w:t xml:space="preserve"> при работе через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 признаются совершенны</w:t>
      </w:r>
      <w:r w:rsidR="00B422E6" w:rsidRPr="00B25B83">
        <w:t>ми</w:t>
      </w:r>
      <w:r w:rsidRPr="00B25B83">
        <w:t xml:space="preserve"> Клиентом. Клиент принимает на себя риск:</w:t>
      </w:r>
    </w:p>
    <w:p w14:paraId="0F195FA0" w14:textId="77C6D57E" w:rsidR="007D0C8C" w:rsidRPr="00B25B83" w:rsidRDefault="007D0C8C" w:rsidP="009913F8">
      <w:pPr>
        <w:pStyle w:val="4"/>
      </w:pPr>
      <w:r w:rsidRPr="00B25B83">
        <w:t xml:space="preserve">совершения действий на Рабочем месте Клиента с использованием Ключа </w:t>
      </w:r>
      <w:r w:rsidR="00AD7502" w:rsidRPr="00B25B83">
        <w:t>ЭП Клиента</w:t>
      </w:r>
      <w:r w:rsidRPr="00B25B83">
        <w:t xml:space="preserve"> лицом, не имеющим на то полномочий;</w:t>
      </w:r>
    </w:p>
    <w:p w14:paraId="5B763146" w14:textId="77777777" w:rsidR="007D0C8C" w:rsidRPr="00B25B83" w:rsidRDefault="007D0C8C" w:rsidP="009913F8">
      <w:pPr>
        <w:pStyle w:val="4"/>
      </w:pPr>
      <w:r w:rsidRPr="00B25B83">
        <w:t>ошибок в Поручениях Клиента;</w:t>
      </w:r>
    </w:p>
    <w:p w14:paraId="604D3FF4" w14:textId="77777777" w:rsidR="006E47F9" w:rsidRPr="00B25B83" w:rsidRDefault="007E58A7" w:rsidP="009913F8">
      <w:pPr>
        <w:pStyle w:val="4"/>
      </w:pPr>
      <w:r w:rsidRPr="00B25B83">
        <w:t xml:space="preserve">получения </w:t>
      </w:r>
      <w:r w:rsidR="00BB42A5" w:rsidRPr="00B25B83">
        <w:t>Н</w:t>
      </w:r>
      <w:r w:rsidR="007D0C8C" w:rsidRPr="00B25B83">
        <w:t>есанкционированного доступа к Рабочему месту Клиента третьими лицами</w:t>
      </w:r>
      <w:r w:rsidR="006E47F9" w:rsidRPr="00B25B83">
        <w:t>;</w:t>
      </w:r>
    </w:p>
    <w:p w14:paraId="0E9B5CFE" w14:textId="77777777" w:rsidR="007D0C8C" w:rsidRPr="00B25B83" w:rsidRDefault="006E47F9" w:rsidP="009913F8">
      <w:pPr>
        <w:pStyle w:val="4"/>
      </w:pPr>
      <w:r w:rsidRPr="00B25B83">
        <w:t>несвоевременного получения Банком информации о Компрометации ключ</w:t>
      </w:r>
      <w:r w:rsidR="00146B69" w:rsidRPr="00B25B83">
        <w:t>ей ЭП</w:t>
      </w:r>
      <w:r w:rsidR="00DB343D" w:rsidRPr="00B25B83">
        <w:t>.</w:t>
      </w:r>
    </w:p>
    <w:p w14:paraId="794B3E95" w14:textId="77777777" w:rsidR="004661AE" w:rsidRPr="00B25B83" w:rsidRDefault="0051682A" w:rsidP="001E549B">
      <w:pPr>
        <w:pStyle w:val="3"/>
      </w:pPr>
      <w:r w:rsidRPr="00B25B83">
        <w:t xml:space="preserve">Банк настоящим уведомляет Клиента, </w:t>
      </w:r>
      <w:r w:rsidR="00927CD3" w:rsidRPr="00B25B83">
        <w:t>а Клиент</w:t>
      </w:r>
      <w:r w:rsidR="00FE12C9" w:rsidRPr="00B25B83">
        <w:t>, подавая Поручение на совершение в интересах Клиента Сделок</w:t>
      </w:r>
      <w:r w:rsidR="00515BBF" w:rsidRPr="00B25B83">
        <w:t xml:space="preserve"> с использованием ИТС QUIK,</w:t>
      </w:r>
      <w:r w:rsidR="00927CD3" w:rsidRPr="00B25B83">
        <w:t xml:space="preserve"> принимает и соглашается с тем, </w:t>
      </w:r>
      <w:r w:rsidRPr="00B25B83">
        <w:t>что</w:t>
      </w:r>
      <w:r w:rsidR="004661AE" w:rsidRPr="00B25B83">
        <w:t>:</w:t>
      </w:r>
    </w:p>
    <w:p w14:paraId="56ACD0D0" w14:textId="600C302D" w:rsidR="004661AE" w:rsidRPr="00B25B83" w:rsidRDefault="0051682A" w:rsidP="009C29ED">
      <w:pPr>
        <w:pStyle w:val="1-"/>
        <w:ind w:left="851" w:hanging="284"/>
      </w:pPr>
      <w:r w:rsidRPr="00B25B83">
        <w:t>Поручения Клиента, созданные и/или переданные с использованием ИТС QUIK, автоматически</w:t>
      </w:r>
      <w:r w:rsidR="00927CD3" w:rsidRPr="00B25B83">
        <w:t xml:space="preserve"> (моментально)</w:t>
      </w:r>
      <w:r w:rsidRPr="00B25B83">
        <w:t xml:space="preserve"> формируют заявку Банк</w:t>
      </w:r>
      <w:r w:rsidR="004661AE" w:rsidRPr="00B25B83">
        <w:t>а на сделку в ТС;</w:t>
      </w:r>
    </w:p>
    <w:p w14:paraId="3ED3B0FA" w14:textId="5F54E831" w:rsidR="004661AE" w:rsidRPr="00B25B83" w:rsidRDefault="0051682A" w:rsidP="009C29ED">
      <w:pPr>
        <w:pStyle w:val="1-"/>
        <w:ind w:left="851" w:hanging="284"/>
      </w:pPr>
      <w:r w:rsidRPr="00B25B83">
        <w:t>Банк не анализирует условия Сделок, которые подлежат заключению по Поручению Клиента, а принимает Поручения к исполнению в рамках установле</w:t>
      </w:r>
      <w:r w:rsidR="004661AE" w:rsidRPr="00B25B83">
        <w:t>нного в отношении Клиента лимит</w:t>
      </w:r>
      <w:r w:rsidR="00061C2A" w:rsidRPr="00B25B83">
        <w:t>а</w:t>
      </w:r>
      <w:r w:rsidR="00E132B8" w:rsidRPr="00B25B83">
        <w:t>.</w:t>
      </w:r>
      <w:r w:rsidRPr="00B25B83">
        <w:t xml:space="preserve"> </w:t>
      </w:r>
    </w:p>
    <w:p w14:paraId="5A39327F" w14:textId="38EDA63F" w:rsidR="004661AE" w:rsidRPr="00B25B83" w:rsidRDefault="001E549B" w:rsidP="001E549B">
      <w:pPr>
        <w:pStyle w:val="3"/>
        <w:numPr>
          <w:ilvl w:val="0"/>
          <w:numId w:val="0"/>
        </w:numPr>
        <w:ind w:left="851"/>
      </w:pPr>
      <w:r w:rsidRPr="00B25B83">
        <w:tab/>
      </w:r>
      <w:r w:rsidR="0051682A" w:rsidRPr="00B25B83">
        <w:t>Клиент самостоятельно принимает решение в отношении возможности подачи Банку Поручений на совершение в интересах Клиента Сделок в ТС, определяет приемлемый для Клиента вид такой С</w:t>
      </w:r>
      <w:r w:rsidR="004661AE" w:rsidRPr="00B25B83">
        <w:t>делки и ее условия</w:t>
      </w:r>
      <w:r w:rsidR="00E132B8" w:rsidRPr="00B25B83">
        <w:t>.</w:t>
      </w:r>
    </w:p>
    <w:p w14:paraId="5F531D82" w14:textId="77777777" w:rsidR="0051682A" w:rsidRPr="00B25B83" w:rsidRDefault="001E549B" w:rsidP="001E549B">
      <w:pPr>
        <w:pStyle w:val="3"/>
        <w:numPr>
          <w:ilvl w:val="0"/>
          <w:numId w:val="0"/>
        </w:numPr>
        <w:ind w:left="851" w:hanging="851"/>
      </w:pPr>
      <w:r w:rsidRPr="00B25B83">
        <w:tab/>
      </w:r>
      <w:r w:rsidRPr="00B25B83">
        <w:tab/>
      </w:r>
      <w:r w:rsidR="0051682A" w:rsidRPr="00B25B83">
        <w:t xml:space="preserve">Клиент, подавая Поручение </w:t>
      </w:r>
      <w:r w:rsidR="00515BBF" w:rsidRPr="00B25B83">
        <w:t xml:space="preserve">на совершение в интересах Клиента Сделок </w:t>
      </w:r>
      <w:r w:rsidR="0051682A" w:rsidRPr="00B25B83">
        <w:t xml:space="preserve">с использованием ИТС QUIK, принимает на себя </w:t>
      </w:r>
      <w:r w:rsidR="004661AE" w:rsidRPr="00B25B83">
        <w:t xml:space="preserve">всю </w:t>
      </w:r>
      <w:r w:rsidR="0051682A" w:rsidRPr="00B25B83">
        <w:t>ответственность и риски, возникающие в связи с заключением Банком в интересах Клиента Сделок по Поручениям Клиента, переданным Клиентом с использованием ИТС QUIK.</w:t>
      </w:r>
    </w:p>
    <w:p w14:paraId="129FE93C" w14:textId="77777777" w:rsidR="007D0C8C" w:rsidRPr="00B25B83" w:rsidRDefault="007D0C8C" w:rsidP="007A53FC">
      <w:pPr>
        <w:pStyle w:val="2"/>
      </w:pPr>
      <w:bookmarkStart w:id="9" w:name="_Toc496940002"/>
      <w:bookmarkStart w:id="10" w:name="_Toc496940350"/>
      <w:bookmarkStart w:id="11" w:name="РеглСтатья3_4"/>
      <w:r w:rsidRPr="00B25B83">
        <w:t>Информационное обслуживание</w:t>
      </w:r>
      <w:bookmarkEnd w:id="9"/>
      <w:bookmarkEnd w:id="10"/>
      <w:bookmarkEnd w:id="11"/>
      <w:r w:rsidR="00E070CD" w:rsidRPr="00B25B83">
        <w:t>:</w:t>
      </w:r>
    </w:p>
    <w:p w14:paraId="1BC35095" w14:textId="77777777" w:rsidR="007D0C8C" w:rsidRPr="00B25B83" w:rsidRDefault="007D0C8C" w:rsidP="001E549B">
      <w:pPr>
        <w:pStyle w:val="3"/>
      </w:pPr>
      <w:r w:rsidRPr="00B25B83">
        <w:t xml:space="preserve">Предоставляемая в рамках информационного обслуживания через ИТС </w:t>
      </w:r>
      <w:r w:rsidR="00A45450" w:rsidRPr="00B25B83">
        <w:rPr>
          <w:lang w:val="en-US"/>
        </w:rPr>
        <w:t>QUIK</w:t>
      </w:r>
      <w:r w:rsidR="00A45450" w:rsidRPr="00B25B83">
        <w:t xml:space="preserve"> </w:t>
      </w:r>
      <w:r w:rsidRPr="00B25B83">
        <w:t xml:space="preserve">информация не принадлежит Банку </w:t>
      </w:r>
      <w:r w:rsidR="00B422E6" w:rsidRPr="00B25B83">
        <w:t>и</w:t>
      </w:r>
      <w:r w:rsidRPr="00B25B83">
        <w:t xml:space="preserve"> является собственностью соответствующих </w:t>
      </w:r>
      <w:r w:rsidRPr="00B25B83">
        <w:lastRenderedPageBreak/>
        <w:t>информационных агентств, указание на которые всегда сопровождает такую информацию.</w:t>
      </w:r>
    </w:p>
    <w:p w14:paraId="2EF716EF" w14:textId="77777777" w:rsidR="007D0C8C" w:rsidRPr="00B25B83" w:rsidRDefault="007D0C8C" w:rsidP="001E549B">
      <w:pPr>
        <w:pStyle w:val="3"/>
      </w:pPr>
      <w:r w:rsidRPr="00B25B83">
        <w:t>Предоставляя Клиенту в соответствии с настоящим Порядком доступ к информации, принадлежащей и распространяемой информационными агентствами, Банк не несет в отношении данной информации никакой ответственности за полноту, точность, своевременность, достоверность и другие существенные характеристики такой информации.</w:t>
      </w:r>
    </w:p>
    <w:p w14:paraId="58378825" w14:textId="77777777" w:rsidR="007D0C8C" w:rsidRPr="00B25B83" w:rsidRDefault="007D0C8C" w:rsidP="007A53FC">
      <w:pPr>
        <w:pStyle w:val="2"/>
      </w:pPr>
      <w:bookmarkStart w:id="12" w:name="_Toc496940003"/>
      <w:bookmarkStart w:id="13" w:name="_Toc496940351"/>
      <w:bookmarkStart w:id="14" w:name="РеглСтатья3_5"/>
      <w:r w:rsidRPr="00B25B83">
        <w:t>Действия Сторон при возникновении сбоев</w:t>
      </w:r>
      <w:bookmarkEnd w:id="12"/>
      <w:bookmarkEnd w:id="13"/>
      <w:bookmarkEnd w:id="14"/>
      <w:r w:rsidR="00E070CD" w:rsidRPr="00B25B83">
        <w:t>:</w:t>
      </w:r>
    </w:p>
    <w:p w14:paraId="656ECB8E" w14:textId="77777777" w:rsidR="007D0C8C" w:rsidRPr="00B25B83" w:rsidRDefault="007D0C8C" w:rsidP="001E549B">
      <w:pPr>
        <w:pStyle w:val="3"/>
      </w:pPr>
      <w:r w:rsidRPr="00B25B83">
        <w:t xml:space="preserve">Независимо от причин и источников возникновения технических проблем (сбоев), препятствующих нормальному взаимодействию Сторон по настоящему Порядку, Сторона, нормальной работе которой препятствуют возникшие сбои, обязана незамедлительно уведомить о случившемся другую Сторону. </w:t>
      </w:r>
    </w:p>
    <w:p w14:paraId="6683F7CD" w14:textId="77777777" w:rsidR="007D0C8C" w:rsidRPr="00B25B83" w:rsidRDefault="007D0C8C" w:rsidP="001E549B">
      <w:pPr>
        <w:pStyle w:val="3"/>
      </w:pPr>
      <w:r w:rsidRPr="00B25B83">
        <w:t>При возникновении любых технических проблем или сбоев Клиент обязан максимально быстро связаться с Банком по телефону или электронной почте для выяснения причин технических проблем или сбоев, а также по телефону для принятия Клиентом решения в отношении переданных Банку, но не исполненных Поручений Клиента, если таковые имеются.</w:t>
      </w:r>
    </w:p>
    <w:p w14:paraId="6FC65EEB" w14:textId="41E0D319" w:rsidR="007D0C8C" w:rsidRPr="00B25B83" w:rsidRDefault="005E758D" w:rsidP="009913F8">
      <w:pPr>
        <w:pStyle w:val="4"/>
      </w:pPr>
      <w:r w:rsidRPr="00B25B83">
        <w:t>В случае любых технических проблем или сбоев Клиент имеет право предоставить в Банк любым способом, предусмотренным Регламентом, поручение на отмену ранее поданного и неисполненного Поручения Клиента (Приложени</w:t>
      </w:r>
      <w:r w:rsidR="001360D3" w:rsidRPr="00B25B83">
        <w:t>я</w:t>
      </w:r>
      <w:r w:rsidRPr="00B25B83">
        <w:t xml:space="preserve"> №</w:t>
      </w:r>
      <w:r w:rsidR="00D839CF" w:rsidRPr="00B25B83">
        <w:t>№</w:t>
      </w:r>
      <w:r w:rsidR="00A45450" w:rsidRPr="00B25B83">
        <w:t xml:space="preserve">, </w:t>
      </w:r>
      <w:r w:rsidR="001437E5">
        <w:t>7</w:t>
      </w:r>
      <w:r w:rsidRPr="00B25B83">
        <w:t xml:space="preserve">, </w:t>
      </w:r>
      <w:r w:rsidR="001437E5">
        <w:t>8</w:t>
      </w:r>
      <w:r w:rsidRPr="00B25B83">
        <w:t xml:space="preserve">, </w:t>
      </w:r>
      <w:r w:rsidR="001437E5">
        <w:t>8а</w:t>
      </w:r>
      <w:r w:rsidRPr="00B25B83">
        <w:t>,</w:t>
      </w:r>
      <w:r w:rsidR="00A5591E" w:rsidRPr="00B25B83">
        <w:t xml:space="preserve"> </w:t>
      </w:r>
      <w:r w:rsidRPr="00B25B83">
        <w:t>1</w:t>
      </w:r>
      <w:r w:rsidR="001437E5">
        <w:t>0</w:t>
      </w:r>
      <w:r w:rsidRPr="00B25B83">
        <w:t xml:space="preserve"> к Регламенту). Не отмененные Поручения Клиентов считаются действительными, надлежаще оформленными и исполняются в обычном режиме.</w:t>
      </w:r>
    </w:p>
    <w:p w14:paraId="28344958" w14:textId="77777777" w:rsidR="007D0C8C" w:rsidRPr="00B25B83" w:rsidRDefault="007D0C8C" w:rsidP="009913F8">
      <w:pPr>
        <w:pStyle w:val="4"/>
      </w:pPr>
      <w:bookmarkStart w:id="15" w:name="_Toc495213078"/>
      <w:bookmarkStart w:id="16" w:name="_Toc496940004"/>
      <w:bookmarkStart w:id="17" w:name="_Toc496940352"/>
      <w:bookmarkStart w:id="18" w:name="РеглСтатья3_6"/>
      <w:r w:rsidRPr="00B25B83">
        <w:t>Банк не несет ответственность за технические сбои, возникшие не по вине Банка.</w:t>
      </w:r>
      <w:bookmarkStart w:id="19" w:name="_Toc253733761"/>
      <w:bookmarkStart w:id="20" w:name="_Ref223930655"/>
      <w:bookmarkEnd w:id="15"/>
      <w:bookmarkEnd w:id="16"/>
      <w:bookmarkEnd w:id="17"/>
      <w:bookmarkEnd w:id="18"/>
      <w:bookmarkEnd w:id="19"/>
    </w:p>
    <w:bookmarkEnd w:id="20"/>
    <w:p w14:paraId="0040BA9F" w14:textId="77777777" w:rsidR="00694197" w:rsidRPr="00B25B83" w:rsidRDefault="00694197" w:rsidP="007A53FC">
      <w:pPr>
        <w:pStyle w:val="2"/>
        <w:rPr>
          <w:snapToGrid w:val="0"/>
        </w:rPr>
      </w:pPr>
      <w:r w:rsidRPr="00B25B83">
        <w:rPr>
          <w:snapToGrid w:val="0"/>
        </w:rPr>
        <w:t>Особенности приема Банком Заявлений посредством ИТС QUIK:</w:t>
      </w:r>
    </w:p>
    <w:p w14:paraId="4E44035C" w14:textId="77777777" w:rsidR="00694197" w:rsidRPr="00B25B83" w:rsidRDefault="00694197" w:rsidP="00694197">
      <w:pPr>
        <w:pStyle w:val="3"/>
        <w:rPr>
          <w:snapToGrid w:val="0"/>
        </w:rPr>
      </w:pPr>
      <w:r w:rsidRPr="00B25B83">
        <w:rPr>
          <w:bCs/>
          <w:snapToGrid w:val="0"/>
        </w:rPr>
        <w:t xml:space="preserve">Форма и (или) наименование полей в Заявлении Клиента при его передаче в Банк посредством ИТС </w:t>
      </w:r>
      <w:r w:rsidRPr="00B25B83">
        <w:rPr>
          <w:bCs/>
          <w:snapToGrid w:val="0"/>
          <w:lang w:val="en-US"/>
        </w:rPr>
        <w:t>QUIK</w:t>
      </w:r>
      <w:r w:rsidRPr="00B25B83">
        <w:rPr>
          <w:bCs/>
          <w:snapToGrid w:val="0"/>
        </w:rPr>
        <w:t xml:space="preserve"> может отличаться от указанных в Приложениях к Регламенту. Заявления могут формироваться Клиентом в модуле ИТС </w:t>
      </w:r>
      <w:r w:rsidRPr="00B25B83">
        <w:rPr>
          <w:bCs/>
          <w:snapToGrid w:val="0"/>
          <w:lang w:val="en-US"/>
        </w:rPr>
        <w:t>QUIK</w:t>
      </w:r>
      <w:r w:rsidRPr="00B25B83">
        <w:rPr>
          <w:bCs/>
          <w:snapToGrid w:val="0"/>
        </w:rPr>
        <w:t>, предназначенном для подачи Поручений (в том числе, Поручений на совершение Неторговых операций), при этом такие Заявления по существу должны содержать информацию, предусмотренную для таких Заявлений в соответствующих Приложениях к Регламенту</w:t>
      </w:r>
    </w:p>
    <w:p w14:paraId="2241B099" w14:textId="77777777" w:rsidR="00F310C8" w:rsidRPr="00B25B83" w:rsidRDefault="00694197" w:rsidP="00694197">
      <w:pPr>
        <w:pStyle w:val="3"/>
        <w:rPr>
          <w:bCs/>
          <w:snapToGrid w:val="0"/>
        </w:rPr>
      </w:pPr>
      <w:r w:rsidRPr="00B25B83">
        <w:rPr>
          <w:bCs/>
          <w:snapToGrid w:val="0"/>
        </w:rPr>
        <w:t xml:space="preserve">Передача Клиентом Заявления, содержащего всю необходимую информацию, предусмотренную в Регламенте для соответствующего типа Заявления, но с измененными полями и (или) через модуль, предназначенный для передачи Поручений, не означает подачу Клиентом в Банк Поручения. </w:t>
      </w:r>
    </w:p>
    <w:p w14:paraId="1E073957" w14:textId="77777777" w:rsidR="00756DDD" w:rsidRPr="00B25B83" w:rsidRDefault="00756DDD" w:rsidP="00756DDD"/>
    <w:p w14:paraId="4D20AD15" w14:textId="655A34EA" w:rsidR="009062CF" w:rsidRPr="00B25B83" w:rsidRDefault="009062CF" w:rsidP="002312C0">
      <w:pPr>
        <w:pStyle w:val="1"/>
      </w:pPr>
      <w:bookmarkStart w:id="21" w:name="_Toc253733780"/>
      <w:bookmarkStart w:id="22" w:name="_Toc253733781"/>
      <w:bookmarkStart w:id="23" w:name="_Toc253733782"/>
      <w:bookmarkStart w:id="24" w:name="_Toc253733783"/>
      <w:bookmarkStart w:id="25" w:name="_Toc253733784"/>
      <w:bookmarkStart w:id="26" w:name="_Toc253733785"/>
      <w:bookmarkStart w:id="27" w:name="_Toc253733786"/>
      <w:bookmarkStart w:id="28" w:name="_Toc253733787"/>
      <w:bookmarkStart w:id="29" w:name="_Toc253733788"/>
      <w:bookmarkStart w:id="30" w:name="_Toc253733789"/>
      <w:bookmarkStart w:id="31" w:name="_Toc253733790"/>
      <w:bookmarkStart w:id="32" w:name="_Toc253733791"/>
      <w:bookmarkStart w:id="33" w:name="_Toc15380638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B25B83">
        <w:t>Компрометация Ключ</w:t>
      </w:r>
      <w:r w:rsidR="00057B50" w:rsidRPr="00B25B83">
        <w:t>А ЭП</w:t>
      </w:r>
      <w:r w:rsidR="00FA3D65" w:rsidRPr="00B25B83">
        <w:t xml:space="preserve"> </w:t>
      </w:r>
      <w:r w:rsidR="00A074D2" w:rsidRPr="00B25B83">
        <w:t>(</w:t>
      </w:r>
      <w:r w:rsidR="00E7321F" w:rsidRPr="00B25B83">
        <w:t xml:space="preserve">Ключей </w:t>
      </w:r>
      <w:r w:rsidR="00E62593" w:rsidRPr="00B25B83">
        <w:t>аутентификации</w:t>
      </w:r>
      <w:r w:rsidR="00A074D2" w:rsidRPr="00B25B83">
        <w:t>)</w:t>
      </w:r>
      <w:bookmarkEnd w:id="33"/>
    </w:p>
    <w:p w14:paraId="799CCDC0" w14:textId="41A02E0F" w:rsidR="00E7321F" w:rsidRPr="00B25B83" w:rsidRDefault="00E7321F" w:rsidP="007A53FC">
      <w:pPr>
        <w:pStyle w:val="2"/>
      </w:pPr>
      <w:r w:rsidRPr="00B25B83">
        <w:t>Компрометация Ключа ЭП</w:t>
      </w:r>
      <w:r w:rsidR="00DB5145" w:rsidRPr="00B25B83">
        <w:t>.</w:t>
      </w:r>
    </w:p>
    <w:p w14:paraId="0F8E37C3" w14:textId="443549FC" w:rsidR="009062CF" w:rsidRPr="00B25B83" w:rsidRDefault="009062CF" w:rsidP="001E549B">
      <w:pPr>
        <w:pStyle w:val="3"/>
      </w:pPr>
      <w:r w:rsidRPr="00B25B83">
        <w:t>В случае принятия Клиентом решения о Компрометации ключ</w:t>
      </w:r>
      <w:r w:rsidR="00057B50" w:rsidRPr="00B25B83">
        <w:t>а ЭП</w:t>
      </w:r>
      <w:r w:rsidRPr="00B25B83">
        <w:t xml:space="preserve"> </w:t>
      </w:r>
      <w:r w:rsidR="00514478" w:rsidRPr="00B25B83">
        <w:t xml:space="preserve">в соответствии с Регламентом и/или Соглашением об использовании ЭП </w:t>
      </w:r>
      <w:r w:rsidRPr="00B25B83">
        <w:t>Клиент немедленно сообщает об этом Банку по телефону или иными предусмотренными Соглашением способами в соответствии с Приложением №</w:t>
      </w:r>
      <w:r w:rsidR="001437E5">
        <w:t>1</w:t>
      </w:r>
      <w:r w:rsidR="00B54389" w:rsidRPr="00B25B83">
        <w:t>4</w:t>
      </w:r>
      <w:r w:rsidR="001437E5">
        <w:t>г</w:t>
      </w:r>
      <w:r w:rsidRPr="00B25B83">
        <w:t xml:space="preserve"> к настоящему </w:t>
      </w:r>
      <w:r w:rsidR="00B54389" w:rsidRPr="00B25B83">
        <w:t>П</w:t>
      </w:r>
      <w:r w:rsidRPr="00B25B83">
        <w:t>орядку</w:t>
      </w:r>
      <w:r w:rsidR="00161890" w:rsidRPr="00B25B83">
        <w:t>.</w:t>
      </w:r>
    </w:p>
    <w:p w14:paraId="5DFDF4CD" w14:textId="77777777" w:rsidR="00514478" w:rsidRPr="00B25B83" w:rsidRDefault="00514478" w:rsidP="009913F8">
      <w:pPr>
        <w:pStyle w:val="4"/>
      </w:pPr>
      <w:r w:rsidRPr="00B25B83">
        <w:lastRenderedPageBreak/>
        <w:t xml:space="preserve">Банк незамедлительно после получения по телефону уведомления Клиента о Компрометации </w:t>
      </w:r>
      <w:r w:rsidR="00057B50" w:rsidRPr="00B25B83">
        <w:t>Ключа ЭП</w:t>
      </w:r>
      <w:r w:rsidRPr="00B25B83">
        <w:t xml:space="preserve"> </w:t>
      </w:r>
      <w:r w:rsidRPr="00B25B83">
        <w:rPr>
          <w:b/>
        </w:rPr>
        <w:t>приостанавливает</w:t>
      </w:r>
      <w:r w:rsidRPr="00B25B83">
        <w:t xml:space="preserve"> прием, регистрацию и исполнение Поручений Клиента через ИТС </w:t>
      </w:r>
      <w:r w:rsidRPr="00B25B83">
        <w:rPr>
          <w:lang w:val="en-US"/>
        </w:rPr>
        <w:t>QUIK</w:t>
      </w:r>
      <w:r w:rsidRPr="00B25B83">
        <w:t xml:space="preserve">, а также передачу Клиенту </w:t>
      </w:r>
      <w:r w:rsidR="00B54389" w:rsidRPr="00B25B83">
        <w:t>Э</w:t>
      </w:r>
      <w:r w:rsidRPr="00B25B83">
        <w:t xml:space="preserve">лектронных документов и сообщений посредством ИТС </w:t>
      </w:r>
      <w:r w:rsidRPr="00B25B83">
        <w:rPr>
          <w:lang w:val="en-US"/>
        </w:rPr>
        <w:t>QUIK</w:t>
      </w:r>
      <w:r w:rsidR="00E70997" w:rsidRPr="00B25B83">
        <w:t>.</w:t>
      </w:r>
    </w:p>
    <w:p w14:paraId="79AEFBEF" w14:textId="42D68AE8" w:rsidR="007F397F" w:rsidRPr="00B25B83" w:rsidRDefault="007F397F" w:rsidP="009913F8">
      <w:pPr>
        <w:pStyle w:val="4"/>
      </w:pPr>
      <w:r w:rsidRPr="00B25B83">
        <w:t xml:space="preserve">Не позднее окончания рабочего дня, в который Клиент сообщил Банку о факте Компрометации Ключей </w:t>
      </w:r>
      <w:r w:rsidR="00E62593" w:rsidRPr="00B25B83">
        <w:t>аутентификации</w:t>
      </w:r>
      <w:r w:rsidRPr="00B25B83">
        <w:t xml:space="preserve"> по телефону, Клиент направляет письменное Заявление на аннулирование Ключей </w:t>
      </w:r>
      <w:r w:rsidR="00E62593" w:rsidRPr="00B25B83">
        <w:t>аутентификации</w:t>
      </w:r>
      <w:r w:rsidR="003B47DF" w:rsidRPr="00B25B83">
        <w:t xml:space="preserve"> (Приложение №</w:t>
      </w:r>
      <w:r w:rsidR="001437E5">
        <w:t>14в</w:t>
      </w:r>
      <w:r w:rsidRPr="00B25B83">
        <w:t xml:space="preserve"> к Порядку)</w:t>
      </w:r>
      <w:r w:rsidR="00942D36" w:rsidRPr="00B25B83">
        <w:t>.</w:t>
      </w:r>
    </w:p>
    <w:p w14:paraId="4903EEDE" w14:textId="6287C706" w:rsidR="00E7321F" w:rsidRPr="00B25B83" w:rsidRDefault="007F397F" w:rsidP="001E549B">
      <w:pPr>
        <w:pStyle w:val="3"/>
      </w:pPr>
      <w:r w:rsidRPr="00B25B83">
        <w:t xml:space="preserve">В случае аннулирования Ключей </w:t>
      </w:r>
      <w:r w:rsidR="00E62593" w:rsidRPr="00B25B83">
        <w:t>аутентификации</w:t>
      </w:r>
      <w:r w:rsidRPr="00B25B83">
        <w:t xml:space="preserve"> возобновление использования ИТС </w:t>
      </w:r>
      <w:r w:rsidRPr="00B25B83">
        <w:rPr>
          <w:lang w:val="en-US"/>
        </w:rPr>
        <w:t>QUIK</w:t>
      </w:r>
      <w:r w:rsidRPr="00B25B83">
        <w:t xml:space="preserve"> происходит после осуществления Клиентом действий по замене Ключ</w:t>
      </w:r>
      <w:r w:rsidR="001A75D6" w:rsidRPr="00B25B83">
        <w:t>ей аутентификации</w:t>
      </w:r>
      <w:r w:rsidRPr="00B25B83">
        <w:t xml:space="preserve"> и самостоятельной смене Логина и Пароля Клиента в соответствии с процедурой, изложенной в Приложени</w:t>
      </w:r>
      <w:r w:rsidR="00671BA0" w:rsidRPr="00B25B83">
        <w:t>и</w:t>
      </w:r>
      <w:r w:rsidRPr="00B25B83">
        <w:t xml:space="preserve"> </w:t>
      </w:r>
      <w:r w:rsidR="003B47DF" w:rsidRPr="00B25B83">
        <w:t>№</w:t>
      </w:r>
      <w:r w:rsidR="001437E5">
        <w:t>1</w:t>
      </w:r>
      <w:r w:rsidR="00B95014" w:rsidRPr="00B25B83">
        <w:t>4</w:t>
      </w:r>
      <w:r w:rsidR="001437E5">
        <w:t>г</w:t>
      </w:r>
      <w:r w:rsidRPr="00B25B83">
        <w:t xml:space="preserve"> к настоящему Порядку.</w:t>
      </w:r>
    </w:p>
    <w:p w14:paraId="36EF9BFB" w14:textId="77777777" w:rsidR="007D0C8C" w:rsidRPr="00B25B83" w:rsidRDefault="007D0C8C" w:rsidP="002312C0">
      <w:pPr>
        <w:pStyle w:val="1"/>
      </w:pPr>
      <w:bookmarkStart w:id="34" w:name="_Toc153806384"/>
      <w:r w:rsidRPr="00B25B83">
        <w:t>ПРАВА И ОБЯЗАННОСТИ СТОРОН</w:t>
      </w:r>
      <w:bookmarkEnd w:id="34"/>
    </w:p>
    <w:p w14:paraId="213FC427" w14:textId="77777777" w:rsidR="007D0C8C" w:rsidRPr="00B25B83" w:rsidRDefault="007D0C8C" w:rsidP="007A53FC">
      <w:pPr>
        <w:pStyle w:val="2"/>
      </w:pPr>
      <w:bookmarkStart w:id="35" w:name="_Toc495213080"/>
      <w:bookmarkStart w:id="36" w:name="_Toc496940006"/>
      <w:bookmarkStart w:id="37" w:name="_Toc496940354"/>
      <w:bookmarkStart w:id="38" w:name="РеглСтатья4_1"/>
      <w:r w:rsidRPr="00B25B83">
        <w:t>Банк обязан</w:t>
      </w:r>
      <w:bookmarkEnd w:id="35"/>
      <w:bookmarkEnd w:id="36"/>
      <w:bookmarkEnd w:id="37"/>
      <w:bookmarkEnd w:id="38"/>
      <w:r w:rsidRPr="00B25B83">
        <w:t>:</w:t>
      </w:r>
    </w:p>
    <w:p w14:paraId="2654C916" w14:textId="6FF4D9F1" w:rsidR="007D0C8C" w:rsidRPr="00B25B83" w:rsidRDefault="007D0C8C" w:rsidP="001E549B">
      <w:pPr>
        <w:pStyle w:val="3"/>
      </w:pPr>
      <w:r w:rsidRPr="00B25B83">
        <w:t>Приложить все разумные усилия с целью обеспечения работоспособности ИТС</w:t>
      </w:r>
      <w:r w:rsidR="00C36E93" w:rsidRPr="00B25B83">
        <w:t xml:space="preserve"> </w:t>
      </w:r>
      <w:r w:rsidR="00C36E93" w:rsidRPr="00B25B83">
        <w:rPr>
          <w:lang w:val="en-US"/>
        </w:rPr>
        <w:t>QUIK</w:t>
      </w:r>
      <w:r w:rsidRPr="00B25B83">
        <w:t xml:space="preserve">, своевременного и в полном объеме исполнения Поручений Клиента на </w:t>
      </w:r>
      <w:r w:rsidR="00C3303E">
        <w:t>сделки с ценными бумагами</w:t>
      </w:r>
      <w:r w:rsidR="00C36E93" w:rsidRPr="00B25B83">
        <w:rPr>
          <w:snapToGrid w:val="0"/>
        </w:rPr>
        <w:t xml:space="preserve"> (Приложение №</w:t>
      </w:r>
      <w:r w:rsidR="00C3303E">
        <w:rPr>
          <w:snapToGrid w:val="0"/>
        </w:rPr>
        <w:t>7</w:t>
      </w:r>
      <w:r w:rsidR="00C36E93" w:rsidRPr="00B25B83">
        <w:rPr>
          <w:snapToGrid w:val="0"/>
        </w:rPr>
        <w:t xml:space="preserve"> к Регламенту)</w:t>
      </w:r>
      <w:r w:rsidRPr="00B25B83">
        <w:t>,</w:t>
      </w:r>
      <w:r w:rsidR="00A5591E" w:rsidRPr="00B25B83">
        <w:t xml:space="preserve"> </w:t>
      </w:r>
      <w:r w:rsidR="00D40ED4" w:rsidRPr="00B25B83">
        <w:t xml:space="preserve">Поручений на </w:t>
      </w:r>
      <w:r w:rsidR="00B413CC" w:rsidRPr="00B25B83">
        <w:t xml:space="preserve">совершение </w:t>
      </w:r>
      <w:r w:rsidR="00A5591E" w:rsidRPr="00B25B83">
        <w:t>Неторговы</w:t>
      </w:r>
      <w:r w:rsidR="00B413CC" w:rsidRPr="00B25B83">
        <w:t xml:space="preserve">х операций </w:t>
      </w:r>
      <w:r w:rsidR="00A5591E" w:rsidRPr="00B25B83">
        <w:t>(Приложени</w:t>
      </w:r>
      <w:r w:rsidR="00D40ED4" w:rsidRPr="00B25B83">
        <w:t>я</w:t>
      </w:r>
      <w:r w:rsidR="00A5591E" w:rsidRPr="00B25B83">
        <w:t xml:space="preserve"> </w:t>
      </w:r>
      <w:r w:rsidR="00D839CF" w:rsidRPr="00B25B83">
        <w:t>№</w:t>
      </w:r>
      <w:r w:rsidR="00A5591E" w:rsidRPr="00B25B83">
        <w:t>№</w:t>
      </w:r>
      <w:r w:rsidR="00C3303E">
        <w:t xml:space="preserve"> 8</w:t>
      </w:r>
      <w:r w:rsidR="00C3303E" w:rsidRPr="00B25B83">
        <w:t xml:space="preserve">, </w:t>
      </w:r>
      <w:r w:rsidR="00C3303E">
        <w:t>8а</w:t>
      </w:r>
      <w:r w:rsidR="00C3303E" w:rsidRPr="00B25B83">
        <w:t>, 1</w:t>
      </w:r>
      <w:r w:rsidR="00C3303E">
        <w:t>0</w:t>
      </w:r>
      <w:r w:rsidR="00A5591E" w:rsidRPr="00B25B83">
        <w:t xml:space="preserve"> к Регламенту)</w:t>
      </w:r>
      <w:r w:rsidR="00D40ED4" w:rsidRPr="00B25B83">
        <w:t>,</w:t>
      </w:r>
      <w:r w:rsidRPr="00B25B83">
        <w:t xml:space="preserve"> созданных и/или переданных с использованием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>.</w:t>
      </w:r>
    </w:p>
    <w:p w14:paraId="1DB31E52" w14:textId="77777777" w:rsidR="007D0C8C" w:rsidRPr="00B25B83" w:rsidRDefault="007D0C8C" w:rsidP="001E549B">
      <w:pPr>
        <w:pStyle w:val="3"/>
      </w:pPr>
      <w:r w:rsidRPr="00B25B83">
        <w:t xml:space="preserve">Каждый Торговый день до начала торгов в Торговой системе вводить в ИТС </w:t>
      </w:r>
      <w:r w:rsidR="00C36E93" w:rsidRPr="00B25B83">
        <w:rPr>
          <w:lang w:val="en-US"/>
        </w:rPr>
        <w:t>QUIK</w:t>
      </w:r>
      <w:r w:rsidR="00C36E93" w:rsidRPr="00B25B83">
        <w:t xml:space="preserve"> </w:t>
      </w:r>
      <w:r w:rsidRPr="00B25B83">
        <w:t>информацию о плановых лимитах/свободных остатках денежных средств</w:t>
      </w:r>
      <w:r w:rsidR="009F364D" w:rsidRPr="00B25B83">
        <w:t xml:space="preserve"> </w:t>
      </w:r>
      <w:r w:rsidRPr="00B25B83">
        <w:t xml:space="preserve">и/или </w:t>
      </w:r>
      <w:r w:rsidRPr="00B25B83">
        <w:rPr>
          <w:snapToGrid w:val="0"/>
        </w:rPr>
        <w:t>Финансовых инструментах</w:t>
      </w:r>
      <w:r w:rsidRPr="00B25B83">
        <w:t>, соответствующих Позиции Клиента.</w:t>
      </w:r>
    </w:p>
    <w:p w14:paraId="7B9EF4A5" w14:textId="50D5F250" w:rsidR="007D0C8C" w:rsidRPr="00B25B83" w:rsidRDefault="007D0C8C" w:rsidP="001E549B">
      <w:pPr>
        <w:pStyle w:val="3"/>
      </w:pPr>
      <w:r w:rsidRPr="00B25B83">
        <w:t>Осуществлять действия, предусмотренные настоящим Порядком</w:t>
      </w:r>
      <w:r w:rsidR="00A54C36" w:rsidRPr="00B25B83">
        <w:t>,</w:t>
      </w:r>
      <w:r w:rsidRPr="00B25B83">
        <w:t xml:space="preserve"> при замене Ключа</w:t>
      </w:r>
      <w:r w:rsidR="00A54C36" w:rsidRPr="00B25B83">
        <w:t xml:space="preserve"> ЭП</w:t>
      </w:r>
      <w:r w:rsidR="00887720" w:rsidRPr="00B25B83">
        <w:t xml:space="preserve"> </w:t>
      </w:r>
      <w:r w:rsidR="00A074D2" w:rsidRPr="00B25B83">
        <w:t>(</w:t>
      </w:r>
      <w:r w:rsidR="003B5282" w:rsidRPr="00B25B83">
        <w:t>Ключей аутентификации</w:t>
      </w:r>
      <w:r w:rsidR="00A074D2" w:rsidRPr="00B25B83">
        <w:t>)</w:t>
      </w:r>
      <w:r w:rsidR="003B5282" w:rsidRPr="00B25B83">
        <w:t xml:space="preserve"> </w:t>
      </w:r>
      <w:r w:rsidRPr="00B25B83">
        <w:t xml:space="preserve">в срок не более </w:t>
      </w:r>
      <w:r w:rsidR="003B47DF" w:rsidRPr="00B25B83">
        <w:t>5 (П</w:t>
      </w:r>
      <w:r w:rsidR="00357BA6" w:rsidRPr="00B25B83">
        <w:t>яти</w:t>
      </w:r>
      <w:r w:rsidR="003B47DF" w:rsidRPr="00B25B83">
        <w:t>)</w:t>
      </w:r>
      <w:r w:rsidR="00357BA6" w:rsidRPr="00B25B83">
        <w:t xml:space="preserve"> </w:t>
      </w:r>
      <w:r w:rsidRPr="00B25B83">
        <w:t>рабочих дней.</w:t>
      </w:r>
    </w:p>
    <w:p w14:paraId="1C1C5B60" w14:textId="77777777" w:rsidR="007D0C8C" w:rsidRPr="00B25B83" w:rsidRDefault="007D0C8C" w:rsidP="001E549B">
      <w:pPr>
        <w:pStyle w:val="3"/>
      </w:pPr>
      <w:r w:rsidRPr="00B25B83">
        <w:t xml:space="preserve">По письменному запросу Клиента подготовить, подписать и скрепить своей печатью/штампом </w:t>
      </w:r>
      <w:r w:rsidR="00116F13" w:rsidRPr="00B25B83">
        <w:t xml:space="preserve">документы </w:t>
      </w:r>
      <w:r w:rsidRPr="00B25B83">
        <w:t>из архива электронных протоколов, осуществляемых средствами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 в отношении действий, предпринятых/осуществленных Клиентом за определенный период, с учетом срока хранения таких протоколов, определяемых Банком самостоятельно.</w:t>
      </w:r>
    </w:p>
    <w:p w14:paraId="06EA280D" w14:textId="77777777" w:rsidR="007D0C8C" w:rsidRPr="00B25B83" w:rsidRDefault="007D0C8C" w:rsidP="007A53FC">
      <w:pPr>
        <w:pStyle w:val="2"/>
      </w:pPr>
      <w:bookmarkStart w:id="39" w:name="_Toc495213081"/>
      <w:bookmarkStart w:id="40" w:name="_Toc496940007"/>
      <w:bookmarkStart w:id="41" w:name="_Toc496940355"/>
      <w:bookmarkStart w:id="42" w:name="РеглСтатья4_2"/>
      <w:r w:rsidRPr="00B25B83">
        <w:t>Банк имеет право</w:t>
      </w:r>
      <w:bookmarkEnd w:id="39"/>
      <w:bookmarkEnd w:id="40"/>
      <w:bookmarkEnd w:id="41"/>
      <w:bookmarkEnd w:id="42"/>
      <w:r w:rsidRPr="00B25B83">
        <w:t>:</w:t>
      </w:r>
    </w:p>
    <w:p w14:paraId="600F3AB6" w14:textId="77777777" w:rsidR="007D0C8C" w:rsidRPr="00B25B83" w:rsidRDefault="005E758D" w:rsidP="001E549B">
      <w:pPr>
        <w:pStyle w:val="3"/>
      </w:pPr>
      <w:r w:rsidRPr="00B25B83">
        <w:t>Не принимать к исполнению Поручени</w:t>
      </w:r>
      <w:r w:rsidR="00B422E6" w:rsidRPr="00B25B83">
        <w:t>я</w:t>
      </w:r>
      <w:r w:rsidRPr="00B25B83">
        <w:t xml:space="preserve"> Клиента, созданные и/или переданные с использованием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>, если существуют причины, которые Банк считает препятствующими электронному взаимодействию Сторон, а также в случае неисполнения требований</w:t>
      </w:r>
      <w:r w:rsidR="003B47DF" w:rsidRPr="00B25B83">
        <w:t xml:space="preserve"> Клиентом</w:t>
      </w:r>
      <w:r w:rsidRPr="00B25B83">
        <w:t xml:space="preserve"> настоящего Порядка и/или Соглашения.</w:t>
      </w:r>
    </w:p>
    <w:p w14:paraId="434C369A" w14:textId="2285091C" w:rsidR="007D0C8C" w:rsidRPr="00B25B83" w:rsidRDefault="005E758D" w:rsidP="001E549B">
      <w:pPr>
        <w:pStyle w:val="3"/>
      </w:pPr>
      <w:r w:rsidRPr="00B25B83">
        <w:t>Не принимать, не регистрировать и не исполнять Поручения Клиента (в том числе Брокера), созданные и/или переданные с использованием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, если нарушены какие-либо из требований настоящего Порядка и/или Регламента, либо если у Банка имеются какие-либо причины, вызывающие сомнения в авторстве и/или подлинности полученных по ИТС </w:t>
      </w:r>
      <w:r w:rsidR="00A45450" w:rsidRPr="00B25B83">
        <w:rPr>
          <w:lang w:val="en-US"/>
        </w:rPr>
        <w:t>QUIK</w:t>
      </w:r>
      <w:r w:rsidR="00A45450" w:rsidRPr="00B25B83">
        <w:t xml:space="preserve"> </w:t>
      </w:r>
      <w:r w:rsidRPr="00B25B83">
        <w:t>Поручений Клиента, а также в случае получения информации</w:t>
      </w:r>
      <w:r w:rsidR="00B413CC" w:rsidRPr="00B25B83">
        <w:t xml:space="preserve"> или возникновения подозрений</w:t>
      </w:r>
      <w:r w:rsidRPr="00B25B83">
        <w:t xml:space="preserve"> о Компрометации ключей</w:t>
      </w:r>
      <w:r w:rsidR="00E31E18" w:rsidRPr="00B25B83">
        <w:t xml:space="preserve"> ЭП </w:t>
      </w:r>
      <w:r w:rsidR="00A074D2" w:rsidRPr="00B25B83">
        <w:t>(</w:t>
      </w:r>
      <w:r w:rsidR="00E31E18" w:rsidRPr="00B25B83">
        <w:t xml:space="preserve"> Ключей аутентификации</w:t>
      </w:r>
      <w:r w:rsidR="00A074D2" w:rsidRPr="00B25B83">
        <w:t>)</w:t>
      </w:r>
      <w:r w:rsidR="00E31E18" w:rsidRPr="00B25B83">
        <w:t>, Логина и Пароля</w:t>
      </w:r>
      <w:r w:rsidRPr="00B25B83">
        <w:t>.</w:t>
      </w:r>
    </w:p>
    <w:p w14:paraId="5DD78DA8" w14:textId="77777777" w:rsidR="007D0C8C" w:rsidRPr="00B25B83" w:rsidRDefault="007D0C8C" w:rsidP="001E549B">
      <w:pPr>
        <w:pStyle w:val="3"/>
      </w:pPr>
      <w:r w:rsidRPr="00B25B83">
        <w:t>Временно приостановить доступ Клиента к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 в случае:</w:t>
      </w:r>
    </w:p>
    <w:p w14:paraId="31624C76" w14:textId="77777777" w:rsidR="007D0C8C" w:rsidRPr="00B25B83" w:rsidRDefault="005E758D" w:rsidP="009913F8">
      <w:pPr>
        <w:pStyle w:val="4"/>
      </w:pPr>
      <w:r w:rsidRPr="00B25B83">
        <w:lastRenderedPageBreak/>
        <w:t>обнаружения (или получения соответствующего сообщения от Клиента) ошибок/неточностей, связанных с исполнением Поручений Клиента, созданных и/или переданных с использованием ИТС</w:t>
      </w:r>
      <w:r w:rsidR="00A45450" w:rsidRPr="00B25B83">
        <w:t xml:space="preserve"> </w:t>
      </w:r>
      <w:r w:rsidR="00A45450" w:rsidRPr="00B25B83">
        <w:rPr>
          <w:lang w:val="en-US"/>
        </w:rPr>
        <w:t>QUIK</w:t>
      </w:r>
      <w:r w:rsidRPr="00B25B83">
        <w:t xml:space="preserve">, либо с предоставляемой Клиенту отчетностью по итогам таких операций, на период проверки </w:t>
      </w:r>
      <w:r w:rsidR="00E31E18" w:rsidRPr="00B25B83">
        <w:t xml:space="preserve">и устранения </w:t>
      </w:r>
      <w:r w:rsidRPr="00B25B83">
        <w:t xml:space="preserve">указанных </w:t>
      </w:r>
      <w:r w:rsidR="00E31E18" w:rsidRPr="00B25B83">
        <w:t>ошибок/неточностей</w:t>
      </w:r>
      <w:r w:rsidR="007D0C8C" w:rsidRPr="00B25B83">
        <w:t>;</w:t>
      </w:r>
    </w:p>
    <w:p w14:paraId="231C09F5" w14:textId="0F8FF2E6" w:rsidR="007D0C8C" w:rsidRPr="00B25B83" w:rsidRDefault="007D0C8C" w:rsidP="009913F8">
      <w:pPr>
        <w:pStyle w:val="4"/>
      </w:pPr>
      <w:r w:rsidRPr="00B25B83">
        <w:t xml:space="preserve">нарушения Клиентом обязательств по оплате </w:t>
      </w:r>
      <w:r w:rsidR="00B413CC" w:rsidRPr="00B25B83">
        <w:t>комиссионного вознаграждения и возмещения расходов</w:t>
      </w:r>
      <w:r w:rsidR="00453335" w:rsidRPr="00B25B83">
        <w:t xml:space="preserve"> Банка</w:t>
      </w:r>
      <w:r w:rsidR="00143F4B" w:rsidRPr="00B25B83">
        <w:t>,</w:t>
      </w:r>
      <w:r w:rsidRPr="00B25B83">
        <w:t xml:space="preserve"> предусмотренных Приложени</w:t>
      </w:r>
      <w:r w:rsidR="00F168EE" w:rsidRPr="00B25B83">
        <w:t>ем</w:t>
      </w:r>
      <w:r w:rsidRPr="00B25B83">
        <w:t xml:space="preserve"> №1</w:t>
      </w:r>
      <w:r w:rsidR="00F91B19">
        <w:t>3</w:t>
      </w:r>
      <w:r w:rsidRPr="00B25B83">
        <w:t xml:space="preserve"> к Регламенту;</w:t>
      </w:r>
    </w:p>
    <w:p w14:paraId="05B6D399" w14:textId="36BFD49F" w:rsidR="007D0C8C" w:rsidRPr="00B25B83" w:rsidRDefault="007D0C8C" w:rsidP="009913F8">
      <w:pPr>
        <w:pStyle w:val="4"/>
      </w:pPr>
      <w:r w:rsidRPr="00B25B83">
        <w:t>возникновения у любой из Сторон подозрений в Компрометации ключей</w:t>
      </w:r>
      <w:r w:rsidR="00EB3D81" w:rsidRPr="00B25B83">
        <w:t xml:space="preserve"> ЭП, Логина и Пароля</w:t>
      </w:r>
      <w:r w:rsidRPr="00B25B83">
        <w:t>;</w:t>
      </w:r>
    </w:p>
    <w:p w14:paraId="51E05505" w14:textId="07C01FE4" w:rsidR="007D0C8C" w:rsidRPr="00B25B83" w:rsidRDefault="005E758D" w:rsidP="009913F8">
      <w:pPr>
        <w:pStyle w:val="4"/>
      </w:pPr>
      <w:r w:rsidRPr="00B25B83">
        <w:t>не предоставлени</w:t>
      </w:r>
      <w:r w:rsidR="00B422E6" w:rsidRPr="00B25B83">
        <w:t>я</w:t>
      </w:r>
      <w:r w:rsidRPr="00B25B83">
        <w:t xml:space="preserve"> в Банк оригиналов Поручений Клиента</w:t>
      </w:r>
      <w:r w:rsidR="00FE0917" w:rsidRPr="00B25B83">
        <w:t xml:space="preserve"> </w:t>
      </w:r>
      <w:r w:rsidR="00143F4B" w:rsidRPr="00B25B83">
        <w:t xml:space="preserve">по </w:t>
      </w:r>
      <w:r w:rsidR="00485FED" w:rsidRPr="00B25B83">
        <w:t xml:space="preserve">Торговым и </w:t>
      </w:r>
      <w:r w:rsidR="00143F4B" w:rsidRPr="00B25B83">
        <w:t>Неторговым операциям</w:t>
      </w:r>
      <w:r w:rsidR="00357BA6" w:rsidRPr="00B25B83">
        <w:t xml:space="preserve"> </w:t>
      </w:r>
      <w:r w:rsidR="00116F13" w:rsidRPr="00B25B83">
        <w:t xml:space="preserve">в соответствии с </w:t>
      </w:r>
      <w:r w:rsidR="003B47DF" w:rsidRPr="00B25B83">
        <w:t xml:space="preserve">Разделом </w:t>
      </w:r>
      <w:r w:rsidR="00357BA6" w:rsidRPr="00B25B83">
        <w:t>3</w:t>
      </w:r>
      <w:r w:rsidR="00143F4B" w:rsidRPr="00B25B83">
        <w:t xml:space="preserve"> </w:t>
      </w:r>
      <w:r w:rsidR="00FE0917" w:rsidRPr="00B25B83">
        <w:t>Приложения №1</w:t>
      </w:r>
      <w:r w:rsidR="00F91B19">
        <w:t>2</w:t>
      </w:r>
      <w:r w:rsidR="00FE0917" w:rsidRPr="00B25B83">
        <w:t xml:space="preserve"> к Регламенту</w:t>
      </w:r>
      <w:r w:rsidR="00116F13" w:rsidRPr="00B25B83">
        <w:t>,</w:t>
      </w:r>
      <w:r w:rsidRPr="00B25B83">
        <w:t xml:space="preserve"> подписанных Реестров поручений в соответствии с </w:t>
      </w:r>
      <w:r w:rsidR="00485FED" w:rsidRPr="00B25B83">
        <w:t xml:space="preserve">Разделом </w:t>
      </w:r>
      <w:r w:rsidRPr="00B25B83">
        <w:t>8 Регламента;</w:t>
      </w:r>
    </w:p>
    <w:p w14:paraId="262A82C0" w14:textId="77777777" w:rsidR="007D0C8C" w:rsidRPr="00B25B83" w:rsidRDefault="007D0C8C" w:rsidP="009913F8">
      <w:pPr>
        <w:pStyle w:val="4"/>
      </w:pPr>
      <w:r w:rsidRPr="00B25B83">
        <w:t>нарушения Клиентом иных обязательств, вытекающих или связанных с настоящим Порядком и/или Соглашением;</w:t>
      </w:r>
    </w:p>
    <w:p w14:paraId="47E6C2BC" w14:textId="77777777" w:rsidR="007D0C8C" w:rsidRPr="00B25B83" w:rsidRDefault="007D0C8C" w:rsidP="009913F8">
      <w:pPr>
        <w:pStyle w:val="4"/>
      </w:pPr>
      <w:r w:rsidRPr="00B25B83">
        <w:t>наличия каких-либо причин технического характера, препятствующих нормальной работе ИТС</w:t>
      </w:r>
      <w:r w:rsidR="00D13C2A" w:rsidRPr="00B25B83">
        <w:t xml:space="preserve"> </w:t>
      </w:r>
      <w:r w:rsidR="00D13C2A" w:rsidRPr="00B25B83">
        <w:rPr>
          <w:lang w:val="en-US"/>
        </w:rPr>
        <w:t>QUIK</w:t>
      </w:r>
      <w:r w:rsidRPr="00B25B83">
        <w:t>, включая, но не ограничиваясь:</w:t>
      </w:r>
    </w:p>
    <w:p w14:paraId="7AC98EF8" w14:textId="77777777" w:rsidR="007D0C8C" w:rsidRPr="00B25B83" w:rsidRDefault="007D0C8C" w:rsidP="005B1431">
      <w:pPr>
        <w:pStyle w:val="Heading"/>
        <w:numPr>
          <w:ilvl w:val="2"/>
          <w:numId w:val="6"/>
        </w:numPr>
        <w:tabs>
          <w:tab w:val="clear" w:pos="1080"/>
          <w:tab w:val="num" w:pos="851"/>
        </w:tabs>
        <w:ind w:left="851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5B83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технические проблемы (сбои), независимо от причин их возникновения;</w:t>
      </w:r>
    </w:p>
    <w:p w14:paraId="217EB6C8" w14:textId="77777777" w:rsidR="007D0C8C" w:rsidRPr="00B25B83" w:rsidRDefault="007D0C8C" w:rsidP="005B1431">
      <w:pPr>
        <w:pStyle w:val="Heading"/>
        <w:numPr>
          <w:ilvl w:val="2"/>
          <w:numId w:val="6"/>
        </w:numPr>
        <w:tabs>
          <w:tab w:val="clear" w:pos="1080"/>
          <w:tab w:val="num" w:pos="851"/>
        </w:tabs>
        <w:ind w:left="851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5B83">
        <w:rPr>
          <w:rFonts w:ascii="Times New Roman" w:hAnsi="Times New Roman" w:cs="Times New Roman"/>
          <w:b w:val="0"/>
          <w:bCs w:val="0"/>
          <w:sz w:val="24"/>
          <w:szCs w:val="24"/>
        </w:rPr>
        <w:t>профилактические/испытательные работы в отношении используемого оборудования и/или каналов связи;</w:t>
      </w:r>
    </w:p>
    <w:p w14:paraId="1536E5B5" w14:textId="77777777" w:rsidR="007D0C8C" w:rsidRPr="00B25B83" w:rsidRDefault="007D0C8C" w:rsidP="005B1431">
      <w:pPr>
        <w:pStyle w:val="Heading"/>
        <w:numPr>
          <w:ilvl w:val="2"/>
          <w:numId w:val="6"/>
        </w:numPr>
        <w:tabs>
          <w:tab w:val="clear" w:pos="1080"/>
          <w:tab w:val="num" w:pos="851"/>
        </w:tabs>
        <w:ind w:left="851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5B83">
        <w:rPr>
          <w:rFonts w:ascii="Times New Roman" w:hAnsi="Times New Roman" w:cs="Times New Roman"/>
          <w:b w:val="0"/>
          <w:bCs w:val="0"/>
          <w:sz w:val="24"/>
          <w:szCs w:val="24"/>
        </w:rPr>
        <w:t>работы, связанные с внесением изменений/устранением неполадок/заменой ИТС</w:t>
      </w:r>
      <w:r w:rsidR="00D13C2A" w:rsidRPr="00B25B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QUIK</w:t>
      </w:r>
      <w:r w:rsidRPr="00B25B83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76171C6E" w14:textId="77777777" w:rsidR="00927221" w:rsidRPr="00B25B83" w:rsidRDefault="007D0C8C" w:rsidP="00927221">
      <w:pPr>
        <w:pStyle w:val="Heading"/>
        <w:numPr>
          <w:ilvl w:val="2"/>
          <w:numId w:val="6"/>
        </w:numPr>
        <w:tabs>
          <w:tab w:val="clear" w:pos="1080"/>
          <w:tab w:val="num" w:pos="851"/>
        </w:tabs>
        <w:ind w:left="851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5B83">
        <w:rPr>
          <w:rFonts w:ascii="Times New Roman" w:hAnsi="Times New Roman" w:cs="Times New Roman"/>
          <w:b w:val="0"/>
          <w:bCs w:val="0"/>
          <w:sz w:val="24"/>
          <w:szCs w:val="24"/>
        </w:rPr>
        <w:t>в иных случаях в соответствии с настоящим Порядком</w:t>
      </w:r>
      <w:r w:rsidR="00927221" w:rsidRPr="00B25B83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FAA9355" w14:textId="77777777" w:rsidR="007D0C8C" w:rsidRPr="00B25B83" w:rsidRDefault="00927221" w:rsidP="000964CD">
      <w:pPr>
        <w:pStyle w:val="Heading"/>
        <w:ind w:left="851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5B83">
        <w:rPr>
          <w:rFonts w:ascii="Times New Roman" w:hAnsi="Times New Roman" w:cs="Times New Roman"/>
          <w:b w:val="0"/>
          <w:bCs w:val="0"/>
          <w:sz w:val="24"/>
          <w:szCs w:val="24"/>
        </w:rPr>
        <w:t>4.2.3.7. по решению Банка с обязательным информированием Клиента о таком событии не позднее, чем за 1 (Один) рабочий день до даты наступления события</w:t>
      </w:r>
      <w:r w:rsidR="007D0C8C" w:rsidRPr="00B25B8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DE308F4" w14:textId="77777777" w:rsidR="007D0C8C" w:rsidRPr="00B25B83" w:rsidRDefault="007D0C8C" w:rsidP="007A53FC">
      <w:pPr>
        <w:pStyle w:val="2"/>
      </w:pPr>
      <w:bookmarkStart w:id="43" w:name="_Toc495213082"/>
      <w:bookmarkStart w:id="44" w:name="_Toc496940008"/>
      <w:bookmarkStart w:id="45" w:name="_Toc496940356"/>
      <w:bookmarkStart w:id="46" w:name="РеглСтатья4_3"/>
      <w:r w:rsidRPr="00B25B83">
        <w:t>Клиент обязан</w:t>
      </w:r>
      <w:bookmarkEnd w:id="43"/>
      <w:bookmarkEnd w:id="44"/>
      <w:bookmarkEnd w:id="45"/>
      <w:bookmarkEnd w:id="46"/>
      <w:r w:rsidRPr="00B25B83">
        <w:t>:</w:t>
      </w:r>
    </w:p>
    <w:p w14:paraId="09DB7A32" w14:textId="77777777" w:rsidR="007D0C8C" w:rsidRPr="00B25B83" w:rsidRDefault="007D0C8C" w:rsidP="001E549B">
      <w:pPr>
        <w:pStyle w:val="3"/>
      </w:pPr>
      <w:bookmarkStart w:id="47" w:name="НеПлатить"/>
      <w:r w:rsidRPr="00B25B83">
        <w:t xml:space="preserve">Ознакомиться с техническим описанием порядка эксплуатации ИТС </w:t>
      </w:r>
      <w:r w:rsidR="00D13C2A" w:rsidRPr="00B25B83">
        <w:rPr>
          <w:lang w:val="en-US"/>
        </w:rPr>
        <w:t>QUIK</w:t>
      </w:r>
      <w:r w:rsidR="00D13C2A" w:rsidRPr="00B25B83">
        <w:t xml:space="preserve"> </w:t>
      </w:r>
      <w:r w:rsidRPr="00B25B83">
        <w:t>в Руководстве пользователя до начала ее эксплуатации и соблюдать условия технического доступа</w:t>
      </w:r>
      <w:r w:rsidR="00E8147F" w:rsidRPr="00B25B83">
        <w:t xml:space="preserve"> к ИТС</w:t>
      </w:r>
      <w:r w:rsidR="00D13C2A" w:rsidRPr="00B25B83">
        <w:t xml:space="preserve"> </w:t>
      </w:r>
      <w:r w:rsidR="00D13C2A" w:rsidRPr="00B25B83">
        <w:rPr>
          <w:lang w:val="en-US"/>
        </w:rPr>
        <w:t>QUIK</w:t>
      </w:r>
      <w:r w:rsidRPr="00B25B83">
        <w:t>;</w:t>
      </w:r>
    </w:p>
    <w:p w14:paraId="43EB85E3" w14:textId="77777777" w:rsidR="007D0C8C" w:rsidRPr="00B25B83" w:rsidRDefault="007D0C8C" w:rsidP="001E549B">
      <w:pPr>
        <w:pStyle w:val="3"/>
      </w:pPr>
      <w:r w:rsidRPr="00B25B83">
        <w:t xml:space="preserve">Использовать ИТС </w:t>
      </w:r>
      <w:r w:rsidR="003B47DF" w:rsidRPr="00B25B83">
        <w:rPr>
          <w:lang w:val="en-US"/>
        </w:rPr>
        <w:t>QUIK</w:t>
      </w:r>
      <w:r w:rsidR="003B47DF" w:rsidRPr="00B25B83">
        <w:t xml:space="preserve"> </w:t>
      </w:r>
      <w:r w:rsidRPr="00B25B83">
        <w:t>только по прямому назначению;</w:t>
      </w:r>
    </w:p>
    <w:p w14:paraId="618B655C" w14:textId="77777777" w:rsidR="007D0C8C" w:rsidRPr="00B25B83" w:rsidRDefault="007D0C8C" w:rsidP="001E549B">
      <w:pPr>
        <w:pStyle w:val="3"/>
      </w:pPr>
      <w:r w:rsidRPr="00B25B83">
        <w:t>Организовать по согласованию с Банком подключение технических средств к телекоммуникационным каналам, обеспечивающим выбранный способ соединения с сервером Банка;</w:t>
      </w:r>
    </w:p>
    <w:p w14:paraId="3BBC53E3" w14:textId="77777777" w:rsidR="007D0C8C" w:rsidRPr="00B25B83" w:rsidRDefault="007D0C8C" w:rsidP="001E549B">
      <w:pPr>
        <w:pStyle w:val="3"/>
      </w:pPr>
      <w:r w:rsidRPr="00B25B83">
        <w:t xml:space="preserve">Своевременно и </w:t>
      </w:r>
      <w:bookmarkEnd w:id="47"/>
      <w:r w:rsidRPr="00B25B83">
        <w:t>в полном объеме оплачивать услуги, оказываемые в соответствии с настоящим Порядком, в порядке, предусмотренном Регламентом;</w:t>
      </w:r>
    </w:p>
    <w:p w14:paraId="42EB00A9" w14:textId="77777777" w:rsidR="00360324" w:rsidRPr="00B25B83" w:rsidRDefault="007D0C8C" w:rsidP="001E549B">
      <w:pPr>
        <w:pStyle w:val="3"/>
      </w:pPr>
      <w:r w:rsidRPr="00B25B83">
        <w:t>Обеспечить доступ к Ключам</w:t>
      </w:r>
      <w:r w:rsidR="00143F4B" w:rsidRPr="00B25B83">
        <w:t xml:space="preserve"> ЭП</w:t>
      </w:r>
      <w:r w:rsidR="00FA2E79" w:rsidRPr="00B25B83">
        <w:t>/</w:t>
      </w:r>
      <w:r w:rsidR="00FF0BB7" w:rsidRPr="00B25B83">
        <w:t>П</w:t>
      </w:r>
      <w:r w:rsidRPr="00B25B83">
        <w:t>арол</w:t>
      </w:r>
      <w:r w:rsidR="0011781B" w:rsidRPr="00B25B83">
        <w:t>ю</w:t>
      </w:r>
      <w:r w:rsidR="00FA2E79" w:rsidRPr="00B25B83">
        <w:t>/</w:t>
      </w:r>
      <w:r w:rsidR="00FF0BB7" w:rsidRPr="00B25B83">
        <w:t>Л</w:t>
      </w:r>
      <w:r w:rsidR="00FA2E79" w:rsidRPr="00B25B83">
        <w:t>огину</w:t>
      </w:r>
      <w:r w:rsidR="00531998" w:rsidRPr="00B25B83">
        <w:t>/</w:t>
      </w:r>
      <w:r w:rsidR="00375092" w:rsidRPr="00B25B83">
        <w:t>/Ключам аутентификации/</w:t>
      </w:r>
      <w:r w:rsidR="009A2255" w:rsidRPr="00B25B83">
        <w:t>Паролю доступа</w:t>
      </w:r>
      <w:r w:rsidR="0011781B" w:rsidRPr="00B25B83">
        <w:t xml:space="preserve"> Клиента</w:t>
      </w:r>
      <w:r w:rsidRPr="00B25B83">
        <w:t xml:space="preserve"> исключительно </w:t>
      </w:r>
      <w:r w:rsidR="003B47DF" w:rsidRPr="00B25B83">
        <w:t>у</w:t>
      </w:r>
      <w:r w:rsidRPr="00B25B83">
        <w:t>полномоченным лицам Клиента</w:t>
      </w:r>
      <w:r w:rsidR="00360324" w:rsidRPr="00B25B83">
        <w:t>;</w:t>
      </w:r>
    </w:p>
    <w:p w14:paraId="4C851B07" w14:textId="77777777" w:rsidR="007D0C8C" w:rsidRPr="00B25B83" w:rsidRDefault="00360324" w:rsidP="001E549B">
      <w:pPr>
        <w:pStyle w:val="3"/>
      </w:pPr>
      <w:r w:rsidRPr="00B25B83">
        <w:t>С</w:t>
      </w:r>
      <w:r w:rsidR="00156476" w:rsidRPr="00B25B83">
        <w:t xml:space="preserve">облюдать </w:t>
      </w:r>
      <w:r w:rsidR="009A2255" w:rsidRPr="00B25B83">
        <w:t>конфиденциальност</w:t>
      </w:r>
      <w:r w:rsidR="00156476" w:rsidRPr="00B25B83">
        <w:t>ь</w:t>
      </w:r>
      <w:r w:rsidR="009A2255" w:rsidRPr="00B25B83">
        <w:t xml:space="preserve"> Ключей ЭП</w:t>
      </w:r>
      <w:r w:rsidR="00156476" w:rsidRPr="00B25B83">
        <w:t xml:space="preserve"> </w:t>
      </w:r>
      <w:r w:rsidR="009A2255" w:rsidRPr="00B25B83">
        <w:t>/</w:t>
      </w:r>
      <w:r w:rsidR="00156476" w:rsidRPr="00B25B83">
        <w:t xml:space="preserve"> </w:t>
      </w:r>
      <w:r w:rsidR="009A2255" w:rsidRPr="00B25B83">
        <w:t>Пароля</w:t>
      </w:r>
      <w:r w:rsidR="00156476" w:rsidRPr="00B25B83">
        <w:t xml:space="preserve"> </w:t>
      </w:r>
      <w:r w:rsidR="009A2255" w:rsidRPr="00B25B83">
        <w:t>/</w:t>
      </w:r>
      <w:r w:rsidR="00156476" w:rsidRPr="00B25B83">
        <w:t xml:space="preserve"> </w:t>
      </w:r>
      <w:r w:rsidR="009A2255" w:rsidRPr="00B25B83">
        <w:t>Логина</w:t>
      </w:r>
      <w:r w:rsidR="00156476" w:rsidRPr="00B25B83">
        <w:t xml:space="preserve"> </w:t>
      </w:r>
      <w:r w:rsidR="009A2255" w:rsidRPr="00B25B83">
        <w:t>/</w:t>
      </w:r>
      <w:r w:rsidR="00375092" w:rsidRPr="00B25B83">
        <w:t xml:space="preserve"> Ключей аутентификации</w:t>
      </w:r>
      <w:r w:rsidR="00156476" w:rsidRPr="00B25B83">
        <w:t xml:space="preserve"> </w:t>
      </w:r>
      <w:r w:rsidR="009A2255" w:rsidRPr="00B25B83">
        <w:t>/</w:t>
      </w:r>
      <w:r w:rsidR="00156476" w:rsidRPr="00B25B83">
        <w:t xml:space="preserve"> </w:t>
      </w:r>
      <w:r w:rsidR="009A2255" w:rsidRPr="00B25B83">
        <w:t>Пароля доступа</w:t>
      </w:r>
      <w:r w:rsidRPr="00B25B83">
        <w:t xml:space="preserve"> и обеспечить соблюдение конфиденциальности указанных сведений Уполномоченными лицами Клиента</w:t>
      </w:r>
      <w:r w:rsidR="007D0C8C" w:rsidRPr="00B25B83">
        <w:t>;</w:t>
      </w:r>
    </w:p>
    <w:p w14:paraId="296AA7E6" w14:textId="77777777" w:rsidR="007D0C8C" w:rsidRPr="00B25B83" w:rsidRDefault="007D0C8C" w:rsidP="001E549B">
      <w:pPr>
        <w:pStyle w:val="3"/>
      </w:pPr>
      <w:r w:rsidRPr="00B25B83">
        <w:t xml:space="preserve">Не допускать копирования, декомпиляции и/или </w:t>
      </w:r>
      <w:r w:rsidR="00507217" w:rsidRPr="00B25B83">
        <w:t>дизассемблирования</w:t>
      </w:r>
      <w:r w:rsidRPr="00B25B83">
        <w:t xml:space="preserve"> любого </w:t>
      </w:r>
      <w:r w:rsidR="006B7252" w:rsidRPr="00B25B83">
        <w:t>программного обеспечения</w:t>
      </w:r>
      <w:r w:rsidRPr="00B25B83">
        <w:t>, используемого Сторонами при осуществлении взаимодействия по настоящему Порядку;</w:t>
      </w:r>
    </w:p>
    <w:p w14:paraId="7BB7D98C" w14:textId="680F111F" w:rsidR="007D0C8C" w:rsidRPr="00B25B83" w:rsidRDefault="007D0C8C" w:rsidP="001E549B">
      <w:pPr>
        <w:pStyle w:val="3"/>
      </w:pPr>
      <w:r w:rsidRPr="00B25B83">
        <w:t>Для оперативной блокировки</w:t>
      </w:r>
      <w:r w:rsidR="009913F8" w:rsidRPr="00B25B83">
        <w:t xml:space="preserve"> </w:t>
      </w:r>
      <w:r w:rsidRPr="00B25B83">
        <w:t xml:space="preserve">Ключей </w:t>
      </w:r>
      <w:r w:rsidR="00D40ED4" w:rsidRPr="00B25B83">
        <w:t xml:space="preserve">ЭП </w:t>
      </w:r>
      <w:r w:rsidRPr="00B25B83">
        <w:t>незамедлительно ставить в известность Банк о:</w:t>
      </w:r>
    </w:p>
    <w:p w14:paraId="5721DC80" w14:textId="720BD7B8" w:rsidR="007D0C8C" w:rsidRPr="00B25B83" w:rsidRDefault="00D40ED4" w:rsidP="009913F8">
      <w:pPr>
        <w:pStyle w:val="4"/>
      </w:pPr>
      <w:r w:rsidRPr="00B25B83">
        <w:lastRenderedPageBreak/>
        <w:t>К</w:t>
      </w:r>
      <w:r w:rsidR="007D0C8C" w:rsidRPr="00B25B83">
        <w:t>омпрометации ключей</w:t>
      </w:r>
      <w:r w:rsidR="00485FED" w:rsidRPr="00B25B83">
        <w:t xml:space="preserve"> ЭП </w:t>
      </w:r>
      <w:r w:rsidR="009913F8" w:rsidRPr="00B25B83">
        <w:t>(</w:t>
      </w:r>
      <w:r w:rsidR="00485FED" w:rsidRPr="00B25B83">
        <w:t>Ключей аутентификации</w:t>
      </w:r>
      <w:r w:rsidR="009913F8" w:rsidRPr="00B25B83">
        <w:t>)</w:t>
      </w:r>
      <w:r w:rsidR="00485FED" w:rsidRPr="00B25B83">
        <w:t>, Логина и Пароля</w:t>
      </w:r>
      <w:r w:rsidR="007D0C8C" w:rsidRPr="00B25B83">
        <w:t>;</w:t>
      </w:r>
    </w:p>
    <w:p w14:paraId="4914F217" w14:textId="77777777" w:rsidR="007D0C8C" w:rsidRPr="00B25B83" w:rsidRDefault="007D0C8C" w:rsidP="009913F8">
      <w:pPr>
        <w:pStyle w:val="4"/>
      </w:pPr>
      <w:r w:rsidRPr="00B25B83">
        <w:t>нарушени</w:t>
      </w:r>
      <w:r w:rsidR="00143F4B" w:rsidRPr="00B25B83">
        <w:t>и</w:t>
      </w:r>
      <w:r w:rsidRPr="00B25B83">
        <w:t xml:space="preserve"> конфиденциальности заданного Клиентом </w:t>
      </w:r>
      <w:r w:rsidR="003B47DF" w:rsidRPr="00B25B83">
        <w:t>П</w:t>
      </w:r>
      <w:r w:rsidRPr="00B25B83">
        <w:t>ароля;</w:t>
      </w:r>
    </w:p>
    <w:p w14:paraId="43984328" w14:textId="77777777" w:rsidR="007D0C8C" w:rsidRPr="00B25B83" w:rsidRDefault="007D0C8C" w:rsidP="001E549B">
      <w:pPr>
        <w:pStyle w:val="3"/>
      </w:pPr>
      <w:r w:rsidRPr="00B25B83">
        <w:t>Каждый Торговый день до начала торгов в Торговой системе осуществлять сверку информации о свободных остатках / лимитах денежных средств</w:t>
      </w:r>
      <w:r w:rsidR="009F364D" w:rsidRPr="00B25B83">
        <w:t xml:space="preserve"> </w:t>
      </w:r>
      <w:r w:rsidRPr="00B25B83">
        <w:t xml:space="preserve">и/или </w:t>
      </w:r>
      <w:r w:rsidR="00E87CD0" w:rsidRPr="00B25B83">
        <w:rPr>
          <w:snapToGrid w:val="0"/>
        </w:rPr>
        <w:t>И</w:t>
      </w:r>
      <w:r w:rsidRPr="00B25B83">
        <w:rPr>
          <w:snapToGrid w:val="0"/>
        </w:rPr>
        <w:t>нструментов</w:t>
      </w:r>
      <w:r w:rsidR="00E87CD0" w:rsidRPr="00B25B83">
        <w:rPr>
          <w:snapToGrid w:val="0"/>
        </w:rPr>
        <w:t xml:space="preserve"> финансового рынка</w:t>
      </w:r>
      <w:r w:rsidRPr="00B25B83">
        <w:t>, введенны</w:t>
      </w:r>
      <w:r w:rsidR="00F168EE" w:rsidRPr="00B25B83">
        <w:t>х</w:t>
      </w:r>
      <w:r w:rsidRPr="00B25B83">
        <w:t xml:space="preserve"> Банком в ИТС</w:t>
      </w:r>
      <w:r w:rsidR="00D13C2A" w:rsidRPr="00B25B83">
        <w:t xml:space="preserve"> </w:t>
      </w:r>
      <w:r w:rsidR="00D13C2A" w:rsidRPr="00B25B83">
        <w:rPr>
          <w:lang w:val="en-US"/>
        </w:rPr>
        <w:t>QUIK</w:t>
      </w:r>
      <w:r w:rsidRPr="00B25B83">
        <w:t>, с данными собственного учета и незамедлительно ставить в известность Банк обо всех выявленных расхождениях.</w:t>
      </w:r>
    </w:p>
    <w:p w14:paraId="43553776" w14:textId="77777777" w:rsidR="007D0C8C" w:rsidRPr="00B25B83" w:rsidRDefault="007D0C8C" w:rsidP="006D5859">
      <w:pPr>
        <w:ind w:left="851" w:firstLine="578"/>
      </w:pPr>
      <w:r w:rsidRPr="00B25B83">
        <w:t xml:space="preserve">В случае обнаружения Клиентом в ИТС </w:t>
      </w:r>
      <w:r w:rsidR="00F81B63" w:rsidRPr="00B25B83">
        <w:rPr>
          <w:lang w:val="en-US"/>
        </w:rPr>
        <w:t>QUIK</w:t>
      </w:r>
      <w:r w:rsidR="00F81B63" w:rsidRPr="00B25B83">
        <w:t xml:space="preserve"> </w:t>
      </w:r>
      <w:r w:rsidRPr="00B25B83">
        <w:t>некорректной информации о собственных текущих свободных остатках/лимитах денежных</w:t>
      </w:r>
      <w:r w:rsidR="00116F13" w:rsidRPr="00B25B83">
        <w:t xml:space="preserve"> </w:t>
      </w:r>
      <w:r w:rsidRPr="00B25B83">
        <w:t>средств и/или</w:t>
      </w:r>
      <w:r w:rsidR="00116F13" w:rsidRPr="00B25B83">
        <w:t xml:space="preserve"> </w:t>
      </w:r>
      <w:r w:rsidR="00F168EE" w:rsidRPr="00B25B83">
        <w:rPr>
          <w:snapToGrid w:val="0"/>
        </w:rPr>
        <w:t>Инструментов финансового рынка</w:t>
      </w:r>
      <w:r w:rsidRPr="00B25B83">
        <w:rPr>
          <w:snapToGrid w:val="0"/>
        </w:rPr>
        <w:t xml:space="preserve"> Клиент обязан незамедлительно </w:t>
      </w:r>
      <w:r w:rsidR="00485FED" w:rsidRPr="00B25B83">
        <w:rPr>
          <w:snapToGrid w:val="0"/>
        </w:rPr>
        <w:t>уведомить</w:t>
      </w:r>
      <w:r w:rsidRPr="00B25B83">
        <w:rPr>
          <w:snapToGrid w:val="0"/>
        </w:rPr>
        <w:t xml:space="preserve"> Банк</w:t>
      </w:r>
      <w:r w:rsidR="00485FED" w:rsidRPr="00B25B83">
        <w:rPr>
          <w:snapToGrid w:val="0"/>
        </w:rPr>
        <w:t xml:space="preserve"> способами, предусмотренными Регламентом</w:t>
      </w:r>
      <w:r w:rsidRPr="00B25B83">
        <w:rPr>
          <w:snapToGrid w:val="0"/>
        </w:rPr>
        <w:t>.</w:t>
      </w:r>
    </w:p>
    <w:p w14:paraId="373D9338" w14:textId="77777777" w:rsidR="007D0C8C" w:rsidRPr="00B25B83" w:rsidRDefault="007D0C8C" w:rsidP="007A53FC">
      <w:pPr>
        <w:pStyle w:val="2"/>
      </w:pPr>
      <w:bookmarkStart w:id="48" w:name="_Toc495213083"/>
      <w:bookmarkStart w:id="49" w:name="_Toc496940009"/>
      <w:bookmarkStart w:id="50" w:name="_Toc496940357"/>
      <w:bookmarkStart w:id="51" w:name="РеглСтатья4_4"/>
      <w:r w:rsidRPr="00B25B83">
        <w:t>Клиент имеет право</w:t>
      </w:r>
      <w:bookmarkEnd w:id="48"/>
      <w:bookmarkEnd w:id="49"/>
      <w:bookmarkEnd w:id="50"/>
      <w:bookmarkEnd w:id="51"/>
      <w:r w:rsidRPr="00B25B83">
        <w:t>:</w:t>
      </w:r>
    </w:p>
    <w:p w14:paraId="50458DA8" w14:textId="77777777" w:rsidR="007D0C8C" w:rsidRPr="00B25B83" w:rsidRDefault="007D0C8C" w:rsidP="001E549B">
      <w:pPr>
        <w:pStyle w:val="3"/>
      </w:pPr>
      <w:r w:rsidRPr="00B25B83">
        <w:t>По собственному усмотрению приостановить/возобновить получение услуг по настоящему Порядку</w:t>
      </w:r>
      <w:r w:rsidR="0011781B" w:rsidRPr="00B25B83">
        <w:t>.</w:t>
      </w:r>
    </w:p>
    <w:p w14:paraId="1758365B" w14:textId="77777777" w:rsidR="007D0C8C" w:rsidRPr="00B25B83" w:rsidRDefault="007D0C8C" w:rsidP="007A53FC">
      <w:pPr>
        <w:pStyle w:val="2"/>
      </w:pPr>
      <w:bookmarkStart w:id="52" w:name="_Toc495213084"/>
      <w:bookmarkStart w:id="53" w:name="_Toc496940010"/>
      <w:bookmarkStart w:id="54" w:name="_Toc496940358"/>
      <w:bookmarkStart w:id="55" w:name="РеглСтатья4_5"/>
      <w:r w:rsidRPr="00B25B83">
        <w:t>Клиент не имеет прав</w:t>
      </w:r>
      <w:bookmarkEnd w:id="52"/>
      <w:bookmarkEnd w:id="53"/>
      <w:bookmarkEnd w:id="54"/>
      <w:bookmarkEnd w:id="55"/>
      <w:r w:rsidRPr="00B25B83">
        <w:t>а:</w:t>
      </w:r>
    </w:p>
    <w:p w14:paraId="2E2A101C" w14:textId="77777777" w:rsidR="007D0C8C" w:rsidRPr="00B25B83" w:rsidRDefault="007D0C8C" w:rsidP="001E549B">
      <w:pPr>
        <w:pStyle w:val="3"/>
      </w:pPr>
      <w:r w:rsidRPr="00B25B83">
        <w:t xml:space="preserve">Транслировать сведения и информацию из ИТС </w:t>
      </w:r>
      <w:r w:rsidR="00646553" w:rsidRPr="00B25B83">
        <w:rPr>
          <w:lang w:val="en-US"/>
        </w:rPr>
        <w:t>QUIK</w:t>
      </w:r>
      <w:r w:rsidR="00646553" w:rsidRPr="00B25B83">
        <w:t xml:space="preserve"> </w:t>
      </w:r>
      <w:r w:rsidRPr="00B25B83">
        <w:t>третьим лицам;</w:t>
      </w:r>
    </w:p>
    <w:p w14:paraId="1EB8CDDA" w14:textId="2C608540" w:rsidR="007D0C8C" w:rsidRPr="00B25B83" w:rsidRDefault="007D0C8C" w:rsidP="001E549B">
      <w:pPr>
        <w:pStyle w:val="3"/>
      </w:pPr>
      <w:r w:rsidRPr="00B25B83">
        <w:t>Подключаться к ИТС</w:t>
      </w:r>
      <w:r w:rsidR="00646553" w:rsidRPr="00B25B83">
        <w:t xml:space="preserve"> </w:t>
      </w:r>
      <w:r w:rsidR="00646553" w:rsidRPr="00B25B83">
        <w:rPr>
          <w:lang w:val="en-US"/>
        </w:rPr>
        <w:t>QUIK</w:t>
      </w:r>
      <w:r w:rsidRPr="00B25B83">
        <w:t xml:space="preserve"> с использованием не принадлежащих ему Ключа</w:t>
      </w:r>
      <w:r w:rsidR="00C930ED" w:rsidRPr="00B25B83">
        <w:t xml:space="preserve"> ЭП</w:t>
      </w:r>
      <w:r w:rsidR="005E2F83" w:rsidRPr="00B25B83">
        <w:t>/</w:t>
      </w:r>
      <w:r w:rsidR="00485FED" w:rsidRPr="00B25B83">
        <w:t>Ключей аутентификации/</w:t>
      </w:r>
      <w:r w:rsidR="003B47DF" w:rsidRPr="00B25B83">
        <w:t>П</w:t>
      </w:r>
      <w:r w:rsidRPr="00B25B83">
        <w:t>ароля</w:t>
      </w:r>
      <w:r w:rsidR="005E2F83" w:rsidRPr="00B25B83">
        <w:t>/</w:t>
      </w:r>
      <w:r w:rsidR="003B47DF" w:rsidRPr="00B25B83">
        <w:t>Л</w:t>
      </w:r>
      <w:r w:rsidR="005E2F83" w:rsidRPr="00B25B83">
        <w:t>огина,</w:t>
      </w:r>
      <w:r w:rsidRPr="00B25B83">
        <w:t xml:space="preserve"> либо методом подбора таких данных;</w:t>
      </w:r>
    </w:p>
    <w:p w14:paraId="32BDE935" w14:textId="77777777" w:rsidR="007D0C8C" w:rsidRPr="00B25B83" w:rsidRDefault="007D0C8C" w:rsidP="001E549B">
      <w:pPr>
        <w:pStyle w:val="3"/>
      </w:pPr>
      <w:r w:rsidRPr="00B25B83">
        <w:t>Использовать предоставленн</w:t>
      </w:r>
      <w:r w:rsidR="00C930ED" w:rsidRPr="00B25B83">
        <w:t>ую</w:t>
      </w:r>
      <w:r w:rsidRPr="00B25B83">
        <w:t xml:space="preserve"> ИТС </w:t>
      </w:r>
      <w:r w:rsidR="00A45450" w:rsidRPr="00B25B83">
        <w:rPr>
          <w:lang w:val="en-US"/>
        </w:rPr>
        <w:t>QUIK</w:t>
      </w:r>
      <w:r w:rsidR="00BB40C2" w:rsidRPr="00B25B83">
        <w:t>,</w:t>
      </w:r>
      <w:r w:rsidR="00A45450" w:rsidRPr="00B25B83">
        <w:t xml:space="preserve"> </w:t>
      </w:r>
      <w:r w:rsidRPr="00B25B83">
        <w:t>либо любые иные средства, оборудование и/или каналы связи для проникновения в локальные сети Банка;</w:t>
      </w:r>
    </w:p>
    <w:p w14:paraId="3AA854E5" w14:textId="77777777" w:rsidR="007D0C8C" w:rsidRPr="00B25B83" w:rsidRDefault="007D0C8C" w:rsidP="001E549B">
      <w:pPr>
        <w:pStyle w:val="3"/>
      </w:pPr>
      <w:r w:rsidRPr="00B25B83">
        <w:t>Предпринимать какие-либо действия, не предусмотренные Соглашением и/или настоящим Порядком, в том числе</w:t>
      </w:r>
      <w:r w:rsidR="00485FED" w:rsidRPr="00B25B83">
        <w:t>,</w:t>
      </w:r>
      <w:r w:rsidRPr="00B25B83">
        <w:t xml:space="preserve"> которые могут вызвать сбои/технические проблемы в работе каких-либо компонентов ИТС </w:t>
      </w:r>
      <w:r w:rsidR="00646553" w:rsidRPr="00B25B83">
        <w:rPr>
          <w:lang w:val="en-US"/>
        </w:rPr>
        <w:t>QUIK</w:t>
      </w:r>
      <w:r w:rsidR="00646553" w:rsidRPr="00B25B83">
        <w:t xml:space="preserve"> </w:t>
      </w:r>
      <w:r w:rsidRPr="00B25B83">
        <w:t>и/или локальных сетей Банка;</w:t>
      </w:r>
    </w:p>
    <w:p w14:paraId="66CDA955" w14:textId="0E301169" w:rsidR="007D0C8C" w:rsidRPr="00B25B83" w:rsidRDefault="008E20F3" w:rsidP="001E549B">
      <w:pPr>
        <w:pStyle w:val="3"/>
      </w:pPr>
      <w:r w:rsidRPr="00B25B83">
        <w:t xml:space="preserve">Передавать третьим лицам программное обеспечение, </w:t>
      </w:r>
      <w:r w:rsidR="00F168EE" w:rsidRPr="00B25B83">
        <w:t>Д</w:t>
      </w:r>
      <w:r w:rsidRPr="00B25B83">
        <w:t xml:space="preserve">истрибутивный пакет, </w:t>
      </w:r>
      <w:r w:rsidR="00C930ED" w:rsidRPr="00B25B83">
        <w:t>Д</w:t>
      </w:r>
      <w:r w:rsidRPr="00B25B83">
        <w:t>окументацию ИТС, Ключи</w:t>
      </w:r>
      <w:r w:rsidR="00C930ED" w:rsidRPr="00B25B83">
        <w:t xml:space="preserve"> ЭП</w:t>
      </w:r>
      <w:r w:rsidR="00485FED" w:rsidRPr="00B25B83">
        <w:t xml:space="preserve">/Пароль/Логин, </w:t>
      </w:r>
      <w:r w:rsidRPr="00B25B83">
        <w:t>сведения по форматам электронных документов и технологии их обработки, а также прочие сведения, относящиеся к настоящему Порядку.</w:t>
      </w:r>
    </w:p>
    <w:p w14:paraId="7AE62167" w14:textId="77777777" w:rsidR="00713A1B" w:rsidRPr="00B25B83" w:rsidRDefault="00713A1B" w:rsidP="001E549B">
      <w:pPr>
        <w:pStyle w:val="3"/>
      </w:pPr>
      <w:r w:rsidRPr="00B25B83">
        <w:t>Вносить изменения в Поручения или Реестры поручений, оформленные Банком по поручению Клиента и переданные Клиенту на подпись с использованием ИТС</w:t>
      </w:r>
      <w:r w:rsidR="00EE0F55" w:rsidRPr="00B25B83">
        <w:t xml:space="preserve"> </w:t>
      </w:r>
      <w:r w:rsidR="00EE0F55" w:rsidRPr="00B25B83">
        <w:rPr>
          <w:lang w:val="en-US"/>
        </w:rPr>
        <w:t>QUIK</w:t>
      </w:r>
      <w:r w:rsidRPr="00B25B83">
        <w:t>.</w:t>
      </w:r>
    </w:p>
    <w:p w14:paraId="699C7276" w14:textId="77777777" w:rsidR="007D0C8C" w:rsidRPr="00B25B83" w:rsidRDefault="007D0C8C" w:rsidP="002312C0">
      <w:pPr>
        <w:pStyle w:val="1"/>
        <w:rPr>
          <w:sz w:val="24"/>
          <w:szCs w:val="24"/>
        </w:rPr>
      </w:pPr>
      <w:bookmarkStart w:id="56" w:name="_Toc153806385"/>
      <w:r w:rsidRPr="00B25B83">
        <w:rPr>
          <w:sz w:val="24"/>
          <w:szCs w:val="24"/>
        </w:rPr>
        <w:t>СТОИМОСТЬ УСЛУГ И ПОРЯДОК ОПЛАТЫ</w:t>
      </w:r>
      <w:bookmarkEnd w:id="56"/>
    </w:p>
    <w:p w14:paraId="35FFD7A1" w14:textId="77777777" w:rsidR="00B25B83" w:rsidRPr="00B25B83" w:rsidRDefault="00B25B83" w:rsidP="00B25B83"/>
    <w:p w14:paraId="31E0176C" w14:textId="7F4FADAD" w:rsidR="007D0C8C" w:rsidRPr="00B25B83" w:rsidRDefault="006B3685" w:rsidP="007A53FC">
      <w:pPr>
        <w:pStyle w:val="2"/>
      </w:pPr>
      <w:r w:rsidRPr="00B25B83">
        <w:t>Плата за подключение ИТС QUIK, абонентские платежи за использование Клиентом ИТС QUIK взимаются Банком в соответствии с Приложением №1</w:t>
      </w:r>
      <w:r w:rsidR="00F91B19">
        <w:t>3</w:t>
      </w:r>
      <w:r w:rsidRPr="00B25B83">
        <w:t xml:space="preserve"> к Регламенту</w:t>
      </w:r>
      <w:r w:rsidR="007D0C8C" w:rsidRPr="00B25B83">
        <w:t>.</w:t>
      </w:r>
    </w:p>
    <w:p w14:paraId="7CEF5C0D" w14:textId="77777777" w:rsidR="006B3685" w:rsidRPr="00B25B83" w:rsidRDefault="006B3685" w:rsidP="001E549B">
      <w:pPr>
        <w:pStyle w:val="3"/>
      </w:pPr>
      <w:r w:rsidRPr="00B25B83">
        <w:t xml:space="preserve">Датой подключения ИТС </w:t>
      </w:r>
      <w:r w:rsidRPr="00B25B83">
        <w:rPr>
          <w:lang w:val="en-US"/>
        </w:rPr>
        <w:t>QUIK</w:t>
      </w:r>
      <w:r w:rsidRPr="00B25B83">
        <w:t xml:space="preserve"> считается дата, с которой Клиент получает возможность совершать операции с использованием ИТС </w:t>
      </w:r>
      <w:r w:rsidR="00F81B63" w:rsidRPr="00B25B83">
        <w:rPr>
          <w:lang w:val="en-US"/>
        </w:rPr>
        <w:t>QUIK</w:t>
      </w:r>
      <w:r w:rsidR="00F81B63" w:rsidRPr="00B25B83">
        <w:t>.</w:t>
      </w:r>
    </w:p>
    <w:p w14:paraId="05AB6C6A" w14:textId="1852CD5F" w:rsidR="006B3685" w:rsidRPr="00B25B83" w:rsidRDefault="006B3685" w:rsidP="001E549B">
      <w:pPr>
        <w:pStyle w:val="3"/>
      </w:pPr>
      <w:r w:rsidRPr="00B25B83">
        <w:t>Датой отказа от использования ИТС QUIK является дата регистрации Банком Заявки на отказ от использования ИТС QU</w:t>
      </w:r>
      <w:r w:rsidR="00A9153E" w:rsidRPr="00B25B83">
        <w:rPr>
          <w:lang w:val="en-US"/>
        </w:rPr>
        <w:t>I</w:t>
      </w:r>
      <w:r w:rsidRPr="00B25B83">
        <w:t>K (Приложение №</w:t>
      </w:r>
      <w:r w:rsidR="004F5620" w:rsidRPr="00B25B83">
        <w:t>1</w:t>
      </w:r>
      <w:r w:rsidR="00F91B19">
        <w:t>4а</w:t>
      </w:r>
      <w:r w:rsidRPr="00B25B83">
        <w:t xml:space="preserve"> к настоящему Порядку) с указанием прекратить технический доступ к ИТС QUIK.</w:t>
      </w:r>
    </w:p>
    <w:p w14:paraId="1C6AE491" w14:textId="23C58192" w:rsidR="007D0C8C" w:rsidRPr="00B25B83" w:rsidRDefault="007D0C8C" w:rsidP="007A53FC">
      <w:pPr>
        <w:pStyle w:val="2"/>
      </w:pPr>
      <w:r w:rsidRPr="00B25B83">
        <w:lastRenderedPageBreak/>
        <w:t xml:space="preserve">Возмещение Клиентом расходов, понесенных Банком при предоставлении Клиенту дополнительных сервисов и функций, запрашиваемых Банком у разработчиков ИТС </w:t>
      </w:r>
      <w:r w:rsidR="00A9153E" w:rsidRPr="00B25B83">
        <w:t xml:space="preserve">QUIK </w:t>
      </w:r>
      <w:r w:rsidRPr="00B25B83">
        <w:t xml:space="preserve">в индивидуальном порядке по письменному запросу Клиента, осуществляется на основании счетов, получаемых от разработчиков ИТС </w:t>
      </w:r>
      <w:r w:rsidR="00F81B63" w:rsidRPr="00B25B83">
        <w:t xml:space="preserve">QUIK </w:t>
      </w:r>
      <w:r w:rsidRPr="00B25B83">
        <w:t xml:space="preserve">или </w:t>
      </w:r>
      <w:r w:rsidR="00A9153E" w:rsidRPr="00B25B83">
        <w:t xml:space="preserve">иных </w:t>
      </w:r>
      <w:r w:rsidRPr="00B25B83">
        <w:t xml:space="preserve">третьих лиц и </w:t>
      </w:r>
      <w:proofErr w:type="spellStart"/>
      <w:r w:rsidRPr="00B25B83">
        <w:t>перевыставляемых</w:t>
      </w:r>
      <w:proofErr w:type="spellEnd"/>
      <w:r w:rsidRPr="00B25B83">
        <w:t xml:space="preserve"> Банком в адрес Клиента, и в соответствии с Приложени</w:t>
      </w:r>
      <w:r w:rsidR="00101564" w:rsidRPr="00B25B83">
        <w:t>ем</w:t>
      </w:r>
      <w:r w:rsidRPr="00B25B83">
        <w:t xml:space="preserve"> №1</w:t>
      </w:r>
      <w:r w:rsidR="00F91B19">
        <w:t>1</w:t>
      </w:r>
      <w:r w:rsidRPr="00B25B83">
        <w:t xml:space="preserve"> к Регламенту.</w:t>
      </w:r>
    </w:p>
    <w:p w14:paraId="4BCF6225" w14:textId="77777777" w:rsidR="007D0C8C" w:rsidRDefault="007D0C8C" w:rsidP="002312C0">
      <w:pPr>
        <w:pStyle w:val="1"/>
        <w:rPr>
          <w:sz w:val="24"/>
          <w:szCs w:val="24"/>
        </w:rPr>
      </w:pPr>
      <w:bookmarkStart w:id="57" w:name="_Toc153806386"/>
      <w:r w:rsidRPr="00B25B83">
        <w:rPr>
          <w:sz w:val="24"/>
          <w:szCs w:val="24"/>
        </w:rPr>
        <w:t>ОТВЕТСТВЕННОСТЬ СТОРОН</w:t>
      </w:r>
      <w:bookmarkEnd w:id="57"/>
    </w:p>
    <w:p w14:paraId="4B2C7FF6" w14:textId="77777777" w:rsidR="007A53FC" w:rsidRPr="007A53FC" w:rsidRDefault="007A53FC" w:rsidP="007A53FC"/>
    <w:p w14:paraId="6DF50C9D" w14:textId="77777777" w:rsidR="007D0C8C" w:rsidRPr="00B25B83" w:rsidRDefault="007D0C8C" w:rsidP="007A53FC">
      <w:pPr>
        <w:pStyle w:val="2"/>
      </w:pPr>
      <w:r w:rsidRPr="00B25B83">
        <w:t>Ответственность Сторон при осуществлении ими взаимодействия в рамках настоящего Порядка определяется положениями заключенного ими Соглашения с учетом особенностей, установленных настоящим разделом Порядка.</w:t>
      </w:r>
    </w:p>
    <w:p w14:paraId="6CF1E7CE" w14:textId="0182558A" w:rsidR="007D0C8C" w:rsidRPr="00B25B83" w:rsidRDefault="00C26F95" w:rsidP="007A53FC">
      <w:pPr>
        <w:pStyle w:val="2"/>
      </w:pPr>
      <w:r w:rsidRPr="00B25B83">
        <w:t xml:space="preserve">Получение Банком от Клиента Сообщений по ИТС QUIK с </w:t>
      </w:r>
      <w:r w:rsidR="001020B4" w:rsidRPr="00B25B83">
        <w:t>использованием Ключа ЭП</w:t>
      </w:r>
      <w:r w:rsidR="003E5B51" w:rsidRPr="00B25B83">
        <w:t xml:space="preserve"> (</w:t>
      </w:r>
      <w:r w:rsidR="00BF52A3" w:rsidRPr="00B25B83">
        <w:t>Ключ</w:t>
      </w:r>
      <w:r w:rsidR="00381654" w:rsidRPr="00B25B83">
        <w:t xml:space="preserve">ей </w:t>
      </w:r>
      <w:r w:rsidR="00BF52A3" w:rsidRPr="00B25B83">
        <w:t>а</w:t>
      </w:r>
      <w:r w:rsidR="00381654" w:rsidRPr="00B25B83">
        <w:t>утентификации</w:t>
      </w:r>
      <w:r w:rsidR="003E5B51" w:rsidRPr="00B25B83">
        <w:t>)</w:t>
      </w:r>
      <w:r w:rsidR="00381654" w:rsidRPr="00B25B83">
        <w:t>,</w:t>
      </w:r>
      <w:r w:rsidR="00BF52A3" w:rsidRPr="00B25B83">
        <w:t xml:space="preserve"> </w:t>
      </w:r>
      <w:r w:rsidR="00A9153E" w:rsidRPr="00B25B83">
        <w:t>Л</w:t>
      </w:r>
      <w:r w:rsidR="00BF52A3" w:rsidRPr="00B25B83">
        <w:t>огина</w:t>
      </w:r>
      <w:r w:rsidR="00381654" w:rsidRPr="00B25B83">
        <w:t xml:space="preserve"> и </w:t>
      </w:r>
      <w:r w:rsidR="00A9153E" w:rsidRPr="00B25B83">
        <w:t>П</w:t>
      </w:r>
      <w:r w:rsidR="00BF52A3" w:rsidRPr="00B25B83">
        <w:t>ароля</w:t>
      </w:r>
      <w:r w:rsidR="00FB1847" w:rsidRPr="00B25B83">
        <w:t>, Пароля доступа</w:t>
      </w:r>
      <w:r w:rsidR="00F81B63" w:rsidRPr="00B25B83">
        <w:t xml:space="preserve"> </w:t>
      </w:r>
      <w:r w:rsidR="00381654" w:rsidRPr="00B25B83">
        <w:t xml:space="preserve">является </w:t>
      </w:r>
      <w:r w:rsidR="007D0C8C" w:rsidRPr="00B25B83">
        <w:t>исчерпывающим признак</w:t>
      </w:r>
      <w:r w:rsidR="00381654" w:rsidRPr="00B25B83">
        <w:t>о</w:t>
      </w:r>
      <w:r w:rsidR="007D0C8C" w:rsidRPr="00B25B83">
        <w:t>м, идентифицирующим</w:t>
      </w:r>
      <w:r w:rsidR="00381654" w:rsidRPr="00B25B83">
        <w:t>и</w:t>
      </w:r>
      <w:r w:rsidR="007D0C8C" w:rsidRPr="00B25B83">
        <w:t xml:space="preserve"> Клиента</w:t>
      </w:r>
      <w:r w:rsidRPr="00B25B83">
        <w:t xml:space="preserve"> </w:t>
      </w:r>
      <w:r w:rsidR="007C0A34" w:rsidRPr="00B25B83">
        <w:t>и/или его уполномоченного представителя при направлении/получении Сообщений по ИТС</w:t>
      </w:r>
      <w:r w:rsidR="00F81B63" w:rsidRPr="00B25B83">
        <w:t xml:space="preserve"> QUIK</w:t>
      </w:r>
      <w:r w:rsidR="007D0C8C" w:rsidRPr="00B25B83">
        <w:t>, при этом Клиент несет полную ответственность за сохранность и неразглашение этой информации.</w:t>
      </w:r>
    </w:p>
    <w:p w14:paraId="1756C4F2" w14:textId="47E390F2" w:rsidR="007D0C8C" w:rsidRPr="00B25B83" w:rsidRDefault="005E758D" w:rsidP="007A53FC">
      <w:pPr>
        <w:pStyle w:val="2"/>
      </w:pPr>
      <w:r w:rsidRPr="00B25B83">
        <w:t xml:space="preserve">Клиент несет полную ответственность за все действия, совершенные с использованием его </w:t>
      </w:r>
      <w:r w:rsidR="00AC605E" w:rsidRPr="00B25B83">
        <w:t xml:space="preserve">Логина, Пароля, </w:t>
      </w:r>
      <w:r w:rsidR="00E762FF" w:rsidRPr="00B25B83">
        <w:t>К</w:t>
      </w:r>
      <w:r w:rsidR="0011781B" w:rsidRPr="00B25B83">
        <w:t xml:space="preserve">люча </w:t>
      </w:r>
      <w:r w:rsidR="00E762FF" w:rsidRPr="00B25B83">
        <w:t>ЭП</w:t>
      </w:r>
      <w:r w:rsidR="00AC605E" w:rsidRPr="00B25B83">
        <w:t>,</w:t>
      </w:r>
      <w:r w:rsidR="0044787A" w:rsidRPr="00B25B83">
        <w:t xml:space="preserve"> </w:t>
      </w:r>
      <w:r w:rsidR="00AC605E" w:rsidRPr="00B25B83">
        <w:t>Пароля доступа</w:t>
      </w:r>
      <w:r w:rsidRPr="00B25B83">
        <w:t>, а также принимает на себя риск возникновения негативных последствий, связанных с исполнением Банком Поручений Клиента и инструкций, полученных им от лиц, использующих</w:t>
      </w:r>
      <w:r w:rsidR="009A0DD4" w:rsidRPr="00B25B83">
        <w:t xml:space="preserve"> Логин, Пароль,</w:t>
      </w:r>
      <w:r w:rsidRPr="00B25B83">
        <w:t xml:space="preserve"> Ключ </w:t>
      </w:r>
      <w:r w:rsidR="00E762FF" w:rsidRPr="00B25B83">
        <w:t>ЭП</w:t>
      </w:r>
      <w:r w:rsidR="00BC6FA3" w:rsidRPr="00B25B83">
        <w:t>,</w:t>
      </w:r>
      <w:r w:rsidR="0044787A" w:rsidRPr="00B25B83">
        <w:t xml:space="preserve"> </w:t>
      </w:r>
      <w:r w:rsidR="00BC6FA3" w:rsidRPr="00B25B83">
        <w:t>и/или Пароль доступа</w:t>
      </w:r>
      <w:r w:rsidRPr="00B25B83">
        <w:t xml:space="preserve"> Клиента.</w:t>
      </w:r>
    </w:p>
    <w:p w14:paraId="76CE3C2C" w14:textId="656C8D7E" w:rsidR="007D0C8C" w:rsidRPr="00B25B83" w:rsidRDefault="007D0C8C" w:rsidP="007A53FC">
      <w:pPr>
        <w:pStyle w:val="2"/>
      </w:pPr>
      <w:r w:rsidRPr="00B25B83">
        <w:t>Правообладателями имущественных авторских прав на ИТС</w:t>
      </w:r>
      <w:r w:rsidR="00F81B63" w:rsidRPr="00B25B83">
        <w:t xml:space="preserve"> </w:t>
      </w:r>
      <w:r w:rsidR="00F81B63" w:rsidRPr="00B25B83">
        <w:rPr>
          <w:lang w:val="en-US"/>
        </w:rPr>
        <w:t>QUIK</w:t>
      </w:r>
      <w:r w:rsidRPr="00B25B83">
        <w:t xml:space="preserve">, предоставляемую Клиенту в рамках настоящего Порядка, являются ее разработчики, перечисленные в </w:t>
      </w:r>
      <w:r w:rsidR="007A53FC">
        <w:t>Р</w:t>
      </w:r>
      <w:r w:rsidRPr="00B25B83">
        <w:t>азделе</w:t>
      </w:r>
      <w:r w:rsidR="00D839CF" w:rsidRPr="00B25B83">
        <w:t xml:space="preserve"> </w:t>
      </w:r>
      <w:r w:rsidR="00290D62" w:rsidRPr="00B25B83">
        <w:t>1</w:t>
      </w:r>
      <w:r w:rsidR="00F81B63" w:rsidRPr="00B25B83">
        <w:t>1</w:t>
      </w:r>
      <w:r w:rsidRPr="00B25B83">
        <w:t xml:space="preserve"> настоящего Порядка. ИТС </w:t>
      </w:r>
      <w:r w:rsidR="00F81B63" w:rsidRPr="00B25B83">
        <w:rPr>
          <w:lang w:val="en-US"/>
        </w:rPr>
        <w:t>QUIK</w:t>
      </w:r>
      <w:r w:rsidR="00F81B63" w:rsidRPr="00B25B83">
        <w:t xml:space="preserve"> </w:t>
      </w:r>
      <w:r w:rsidRPr="00B25B83">
        <w:t xml:space="preserve">является собственностью разработчиков и содержит информацию без права ее копирования. </w:t>
      </w:r>
    </w:p>
    <w:p w14:paraId="60E75008" w14:textId="77777777" w:rsidR="007D0C8C" w:rsidRPr="00B25B83" w:rsidRDefault="007D0C8C" w:rsidP="007A53FC">
      <w:pPr>
        <w:pStyle w:val="2"/>
      </w:pPr>
      <w:r w:rsidRPr="00B25B83">
        <w:t>Предоставляемая в рамках информационного обслуживания через электронные каналы связи информация является собственностью соответствующих информационных агентств. Клиент несет полную ответственность за нарушение законодательно установленного режима использования такой информации.</w:t>
      </w:r>
    </w:p>
    <w:p w14:paraId="24F61A0D" w14:textId="77777777" w:rsidR="007D0C8C" w:rsidRPr="00B25B83" w:rsidRDefault="007D0C8C" w:rsidP="007A53FC">
      <w:pPr>
        <w:pStyle w:val="2"/>
      </w:pPr>
      <w:bookmarkStart w:id="58" w:name="_Toc495213087"/>
      <w:r w:rsidRPr="00B25B83">
        <w:t>Стороны несут ответственность за разглашение (</w:t>
      </w:r>
      <w:r w:rsidR="00FB1847" w:rsidRPr="00B25B83">
        <w:t xml:space="preserve">в том числе, </w:t>
      </w:r>
      <w:r w:rsidRPr="00B25B83">
        <w:t>раскрытие, воспроизведение, распространение) любой информации, полученной ими при оказании Банком Клиенту дополнительных услуг по настоящему Порядку</w:t>
      </w:r>
      <w:r w:rsidR="00A9153E" w:rsidRPr="00B25B83">
        <w:t>.</w:t>
      </w:r>
    </w:p>
    <w:p w14:paraId="105221B8" w14:textId="77777777" w:rsidR="007D0C8C" w:rsidRPr="00B25B83" w:rsidRDefault="007D0C8C" w:rsidP="007A53FC">
      <w:pPr>
        <w:pStyle w:val="2"/>
      </w:pPr>
      <w:bookmarkStart w:id="59" w:name="_Toc496940013"/>
      <w:bookmarkStart w:id="60" w:name="_Toc496940361"/>
      <w:bookmarkStart w:id="61" w:name="РеглСтатья5_2"/>
      <w:r w:rsidRPr="00B25B83">
        <w:t>В случае нарушения Клиентом условий, предусмотренных п</w:t>
      </w:r>
      <w:r w:rsidR="00E87CD0" w:rsidRPr="00B25B83">
        <w:t>.</w:t>
      </w:r>
      <w:r w:rsidR="00375486" w:rsidRPr="00B25B83">
        <w:t xml:space="preserve"> 4.3.7,</w:t>
      </w:r>
      <w:r w:rsidRPr="00B25B83">
        <w:t xml:space="preserve"> п.</w:t>
      </w:r>
      <w:r w:rsidR="00375486" w:rsidRPr="00B25B83">
        <w:t xml:space="preserve"> 4.5.3</w:t>
      </w:r>
      <w:r w:rsidRPr="00B25B83">
        <w:t xml:space="preserve">, </w:t>
      </w:r>
      <w:r w:rsidR="00E87CD0" w:rsidRPr="00B25B83">
        <w:t>п.</w:t>
      </w:r>
      <w:r w:rsidR="00375486" w:rsidRPr="00B25B83">
        <w:t>4</w:t>
      </w:r>
      <w:r w:rsidR="00E87CD0" w:rsidRPr="00B25B83">
        <w:t>.5.4</w:t>
      </w:r>
      <w:r w:rsidR="00290D62" w:rsidRPr="00B25B83">
        <w:t xml:space="preserve"> и</w:t>
      </w:r>
      <w:r w:rsidR="00E87CD0" w:rsidRPr="00B25B83">
        <w:t xml:space="preserve"> </w:t>
      </w:r>
      <w:r w:rsidRPr="00B25B83">
        <w:t>п.</w:t>
      </w:r>
      <w:r w:rsidR="00375486" w:rsidRPr="00B25B83">
        <w:t>4</w:t>
      </w:r>
      <w:r w:rsidRPr="00B25B83">
        <w:t>.5.5 настоящего Порядка, Клиент в течение 10</w:t>
      </w:r>
      <w:r w:rsidR="00A9153E" w:rsidRPr="00B25B83">
        <w:t xml:space="preserve"> (Десяти)</w:t>
      </w:r>
      <w:r w:rsidRPr="00B25B83">
        <w:t xml:space="preserve"> рабочих дней с даты соответствующего нарушения обязан выплатить Банку штраф в размере 60</w:t>
      </w:r>
      <w:r w:rsidR="00290D62" w:rsidRPr="00B25B83">
        <w:t> </w:t>
      </w:r>
      <w:r w:rsidRPr="00B25B83">
        <w:t>000 (Шест</w:t>
      </w:r>
      <w:r w:rsidR="00290D62" w:rsidRPr="00B25B83">
        <w:t>и</w:t>
      </w:r>
      <w:r w:rsidRPr="00B25B83">
        <w:t>десят</w:t>
      </w:r>
      <w:r w:rsidR="00290D62" w:rsidRPr="00B25B83">
        <w:t>и</w:t>
      </w:r>
      <w:r w:rsidRPr="00B25B83">
        <w:t xml:space="preserve"> тысяч)</w:t>
      </w:r>
      <w:r w:rsidR="00A9153E" w:rsidRPr="00B25B83">
        <w:t xml:space="preserve"> российских</w:t>
      </w:r>
      <w:r w:rsidRPr="00B25B83">
        <w:t xml:space="preserve"> рублей, а также полностью компенсировать убытки Банка, разработчика, информационного агентства и/или других третьих лиц, возникшие по вине Клиента.</w:t>
      </w:r>
    </w:p>
    <w:p w14:paraId="39E43DC7" w14:textId="77777777" w:rsidR="007D0C8C" w:rsidRPr="00B25B83" w:rsidRDefault="007D0C8C" w:rsidP="007A53FC">
      <w:pPr>
        <w:pStyle w:val="2"/>
      </w:pPr>
      <w:r w:rsidRPr="00B25B83">
        <w:t>Ограничения ответственности</w:t>
      </w:r>
      <w:bookmarkEnd w:id="58"/>
      <w:bookmarkEnd w:id="59"/>
      <w:bookmarkEnd w:id="60"/>
      <w:bookmarkEnd w:id="61"/>
      <w:r w:rsidRPr="00B25B83">
        <w:t>.</w:t>
      </w:r>
    </w:p>
    <w:p w14:paraId="0422BC09" w14:textId="77777777" w:rsidR="007D0C8C" w:rsidRPr="00B25B83" w:rsidRDefault="00A9153E" w:rsidP="001E549B">
      <w:pPr>
        <w:pStyle w:val="3"/>
      </w:pPr>
      <w:r w:rsidRPr="00B25B83">
        <w:lastRenderedPageBreak/>
        <w:t xml:space="preserve">Банк не несет ответственности за неисполнение или ненадлежащее исполнение своих обязательств по Соглашению и/или настоящему Порядку, а также за какие-либо убытки, включая, но не ограничиваясь случаями неполучения Клиентом прибыли (упущенная выгода), возникшие, в частности, в результате прерывания деятельности, потери информации, использования или невозможности использования Клиентом дополнительных услуг по настоящему Порядку, нарушением нормального функционирования ИТС </w:t>
      </w:r>
      <w:r w:rsidRPr="00B25B83">
        <w:rPr>
          <w:lang w:val="en-US"/>
        </w:rPr>
        <w:t>QUIK</w:t>
      </w:r>
      <w:r w:rsidRPr="00B25B83">
        <w:t xml:space="preserve"> по следующим причинам</w:t>
      </w:r>
      <w:r w:rsidR="007D0C8C" w:rsidRPr="00B25B83">
        <w:t>:</w:t>
      </w:r>
    </w:p>
    <w:p w14:paraId="43945659" w14:textId="77777777" w:rsidR="007D0C8C" w:rsidRPr="00B25B83" w:rsidRDefault="007D0C8C" w:rsidP="009913F8">
      <w:pPr>
        <w:pStyle w:val="4"/>
      </w:pPr>
      <w:r w:rsidRPr="00B25B83">
        <w:t>неисправности какого-либо используемого технологического оборудования;</w:t>
      </w:r>
    </w:p>
    <w:p w14:paraId="2CC16D33" w14:textId="77777777" w:rsidR="007D0C8C" w:rsidRPr="00B25B83" w:rsidRDefault="007D0C8C" w:rsidP="009913F8">
      <w:pPr>
        <w:pStyle w:val="4"/>
      </w:pPr>
      <w:r w:rsidRPr="00B25B83">
        <w:t>сбоев, неисправностей и/или отказов в работе ИТС</w:t>
      </w:r>
      <w:r w:rsidR="00EE0F55" w:rsidRPr="00B25B83">
        <w:t xml:space="preserve"> </w:t>
      </w:r>
      <w:r w:rsidR="00EE0F55" w:rsidRPr="00B25B83">
        <w:rPr>
          <w:lang w:val="en-US"/>
        </w:rPr>
        <w:t>QUIK</w:t>
      </w:r>
      <w:r w:rsidRPr="00B25B83">
        <w:t>, каналов связи, энергоснабжения;</w:t>
      </w:r>
    </w:p>
    <w:p w14:paraId="13870157" w14:textId="77777777" w:rsidR="007D0C8C" w:rsidRPr="00B25B83" w:rsidRDefault="007D0C8C" w:rsidP="009913F8">
      <w:pPr>
        <w:pStyle w:val="4"/>
      </w:pPr>
      <w:r w:rsidRPr="00B25B83">
        <w:t>ошибок, неисполнения или ненадлежащего исполнения своих обязательств со стороны провайдеров услуг связи и доступа в Интернет либо со стороны Торговой системы в части предоставления доступа/обеспечения надлежащего функционирования программно-технического комплекса Торговой системы;</w:t>
      </w:r>
    </w:p>
    <w:p w14:paraId="3D4B28D8" w14:textId="77777777" w:rsidR="007D0C8C" w:rsidRPr="00B25B83" w:rsidRDefault="007D0C8C" w:rsidP="009913F8">
      <w:pPr>
        <w:pStyle w:val="4"/>
      </w:pPr>
      <w:r w:rsidRPr="00B25B83">
        <w:t>других причин технического характера, влияющих на работоспособность ИТС</w:t>
      </w:r>
      <w:r w:rsidR="00EE0F55" w:rsidRPr="00B25B83">
        <w:t xml:space="preserve"> </w:t>
      </w:r>
      <w:r w:rsidR="00EE0F55" w:rsidRPr="00B25B83">
        <w:rPr>
          <w:lang w:val="en-US"/>
        </w:rPr>
        <w:t>QUIK</w:t>
      </w:r>
      <w:r w:rsidRPr="00B25B83">
        <w:t>.</w:t>
      </w:r>
    </w:p>
    <w:p w14:paraId="076AAFD4" w14:textId="77777777" w:rsidR="007D0C8C" w:rsidRPr="00B25B83" w:rsidRDefault="007D0C8C" w:rsidP="001E549B">
      <w:pPr>
        <w:pStyle w:val="3"/>
      </w:pPr>
      <w:r w:rsidRPr="00B25B83">
        <w:t>В отношении информации</w:t>
      </w:r>
      <w:r w:rsidR="00FB1847" w:rsidRPr="00B25B83">
        <w:t>, предоставляемой в рамках информационного обслуживания через электронные каналы связи,</w:t>
      </w:r>
      <w:r w:rsidRPr="00B25B83">
        <w:t xml:space="preserve"> Банк является таким же пользователем, как и Клиент, и, соответственно, не несет перед Клиентом никакой ответственности за полноту, точность, своевременность, достоверность и другие существенные характеристики такой информации, а также за возможные убытки Клиента, вызванные использованием такой информации.</w:t>
      </w:r>
    </w:p>
    <w:p w14:paraId="22E804D3" w14:textId="588F3BBC" w:rsidR="007D0C8C" w:rsidRPr="00B25B83" w:rsidRDefault="007D0C8C" w:rsidP="001E549B">
      <w:pPr>
        <w:pStyle w:val="3"/>
      </w:pPr>
      <w:r w:rsidRPr="00B25B83">
        <w:t>Банк не несет ответственности за нарушение Клиентом авторских и имущественных прав разработчиков ИТС</w:t>
      </w:r>
      <w:r w:rsidR="00EE0F55" w:rsidRPr="00B25B83">
        <w:t xml:space="preserve"> </w:t>
      </w:r>
      <w:r w:rsidR="00EE0F55" w:rsidRPr="00B25B83">
        <w:rPr>
          <w:lang w:val="en-US"/>
        </w:rPr>
        <w:t>QUIK</w:t>
      </w:r>
      <w:r w:rsidRPr="00B25B83">
        <w:t>. В случае неавторизованного или незаконного использования Клиентом переданной ему ИТС</w:t>
      </w:r>
      <w:r w:rsidR="00F63C3D" w:rsidRPr="00B25B83">
        <w:t xml:space="preserve"> </w:t>
      </w:r>
      <w:r w:rsidR="00F63C3D" w:rsidRPr="00B25B83">
        <w:rPr>
          <w:lang w:val="en-US"/>
        </w:rPr>
        <w:t>QUIK</w:t>
      </w:r>
      <w:r w:rsidRPr="00B25B83">
        <w:t xml:space="preserve"> Клиент возмещает разработчикам </w:t>
      </w:r>
      <w:r w:rsidR="00FB1847" w:rsidRPr="00B25B83">
        <w:t xml:space="preserve">и Банку </w:t>
      </w:r>
      <w:r w:rsidRPr="00B25B83">
        <w:t>все убытки, в том числе упущенную выгоду, явившиеся частично или полностью результатом действия или бездействия Клиента.</w:t>
      </w:r>
    </w:p>
    <w:p w14:paraId="3A0DDDF5" w14:textId="77777777" w:rsidR="007D0C8C" w:rsidRDefault="007D0C8C" w:rsidP="002312C0">
      <w:pPr>
        <w:pStyle w:val="1"/>
        <w:rPr>
          <w:sz w:val="24"/>
          <w:szCs w:val="24"/>
        </w:rPr>
      </w:pPr>
      <w:bookmarkStart w:id="62" w:name="_Toc495213088"/>
      <w:bookmarkStart w:id="63" w:name="_Toc496940014"/>
      <w:bookmarkStart w:id="64" w:name="_Toc496940362"/>
      <w:bookmarkStart w:id="65" w:name="РеглСтатья5_3"/>
      <w:bookmarkStart w:id="66" w:name="_Toc153806387"/>
      <w:r w:rsidRPr="00B25B83">
        <w:rPr>
          <w:sz w:val="24"/>
          <w:szCs w:val="24"/>
        </w:rPr>
        <w:t>ПРОЦЕДУРА РАЗРЕШЕНИЯ СПОРОВ И РАЗНОГЛАСИЙ</w:t>
      </w:r>
      <w:bookmarkEnd w:id="62"/>
      <w:bookmarkEnd w:id="63"/>
      <w:bookmarkEnd w:id="64"/>
      <w:bookmarkEnd w:id="65"/>
      <w:bookmarkEnd w:id="66"/>
    </w:p>
    <w:p w14:paraId="27F717B9" w14:textId="77777777" w:rsidR="007A53FC" w:rsidRPr="007A53FC" w:rsidRDefault="007A53FC" w:rsidP="007A53FC"/>
    <w:p w14:paraId="4108C889" w14:textId="77777777" w:rsidR="007D0C8C" w:rsidRPr="00B25B83" w:rsidRDefault="007D0C8C" w:rsidP="007A53FC">
      <w:pPr>
        <w:pStyle w:val="2"/>
      </w:pPr>
      <w:r w:rsidRPr="00B25B83">
        <w:t xml:space="preserve">Споры и разногласия, возникающие в связи с настоящим Порядком, решаются Сторонами путем переговоров, </w:t>
      </w:r>
      <w:r w:rsidR="00F63C3D" w:rsidRPr="00B25B83">
        <w:t>р</w:t>
      </w:r>
      <w:r w:rsidRPr="00B25B83">
        <w:t xml:space="preserve">езультаты которых оформляются </w:t>
      </w:r>
      <w:r w:rsidR="00290D62" w:rsidRPr="00B25B83">
        <w:t>п</w:t>
      </w:r>
      <w:r w:rsidRPr="00B25B83">
        <w:t xml:space="preserve">ротоколом согласования разногласий или </w:t>
      </w:r>
      <w:r w:rsidR="00290D62" w:rsidRPr="00B25B83">
        <w:t>п</w:t>
      </w:r>
      <w:r w:rsidRPr="00B25B83">
        <w:t>ротоколом разногласий. Урегулирование споров и разногласий в этом случае осуществляется в порядке, установленном Регламентом.</w:t>
      </w:r>
    </w:p>
    <w:p w14:paraId="09020305" w14:textId="77777777" w:rsidR="007D0C8C" w:rsidRPr="00B25B83" w:rsidRDefault="007D0C8C" w:rsidP="007A53FC">
      <w:pPr>
        <w:pStyle w:val="2"/>
      </w:pPr>
      <w:r w:rsidRPr="00B25B83">
        <w:t>В случае возникновения у любой из Сторон сомнений в полноте и/или целостности (отсутствие, искажение, присутствие ошибочной) информации, зафиксированной ИТС</w:t>
      </w:r>
      <w:r w:rsidR="00FE7F48" w:rsidRPr="00B25B83">
        <w:t xml:space="preserve"> </w:t>
      </w:r>
      <w:r w:rsidR="00FE7F48" w:rsidRPr="00B25B83">
        <w:rPr>
          <w:lang w:val="en-US"/>
        </w:rPr>
        <w:t>QUIK</w:t>
      </w:r>
      <w:r w:rsidRPr="00B25B83">
        <w:t>, Стороны могут привлечь в качестве независимого эксперта разработчика(</w:t>
      </w:r>
      <w:proofErr w:type="spellStart"/>
      <w:r w:rsidRPr="00B25B83">
        <w:t>ов</w:t>
      </w:r>
      <w:proofErr w:type="spellEnd"/>
      <w:r w:rsidRPr="00B25B83">
        <w:t>) ИТС</w:t>
      </w:r>
      <w:r w:rsidR="00FE7F48" w:rsidRPr="00B25B83">
        <w:t xml:space="preserve"> </w:t>
      </w:r>
      <w:r w:rsidR="00FE7F48" w:rsidRPr="00B25B83">
        <w:rPr>
          <w:lang w:val="en-US"/>
        </w:rPr>
        <w:t>QUIK</w:t>
      </w:r>
      <w:r w:rsidRPr="00B25B83">
        <w:t>. При этом оплата услуг независимого эксперта, если необходимо, осуществляется за счет Стороны, выступившей инициатором приглашения эксперта, либо иным образом – при наличии согласия Сторон.</w:t>
      </w:r>
    </w:p>
    <w:p w14:paraId="2D3A82BA" w14:textId="199EA862" w:rsidR="007D0C8C" w:rsidRPr="00B25B83" w:rsidRDefault="007D0C8C" w:rsidP="007A53FC">
      <w:pPr>
        <w:pStyle w:val="2"/>
      </w:pPr>
      <w:r w:rsidRPr="00B25B83">
        <w:lastRenderedPageBreak/>
        <w:t xml:space="preserve">В дополнение к порядку разрешения споров и разногласий Сторон, изложенному в Регламенте, Стороны договорились в обязательном порядке использовать дополнительные досудебные этапы процедуры урегулирования таких споров и разногласий, изложенные в </w:t>
      </w:r>
      <w:r w:rsidR="009613D3" w:rsidRPr="00B25B83">
        <w:t xml:space="preserve">Разделе </w:t>
      </w:r>
      <w:r w:rsidR="007A53FC">
        <w:t>4</w:t>
      </w:r>
      <w:r w:rsidR="009613D3" w:rsidRPr="00B25B83">
        <w:t xml:space="preserve"> </w:t>
      </w:r>
      <w:r w:rsidR="00B115BB" w:rsidRPr="00B25B83">
        <w:t>Приложении №</w:t>
      </w:r>
      <w:r w:rsidR="00F91B19">
        <w:t>1</w:t>
      </w:r>
      <w:r w:rsidR="00B115BB" w:rsidRPr="00B25B83">
        <w:t>4</w:t>
      </w:r>
      <w:r w:rsidR="00F91B19">
        <w:t>г</w:t>
      </w:r>
      <w:r w:rsidR="00B115BB" w:rsidRPr="00B25B83">
        <w:t xml:space="preserve"> к настоящему Порядку</w:t>
      </w:r>
      <w:r w:rsidR="009613D3" w:rsidRPr="00B25B83">
        <w:t xml:space="preserve"> (применительно к случаям использования ИТС </w:t>
      </w:r>
      <w:r w:rsidR="009613D3" w:rsidRPr="00B25B83">
        <w:rPr>
          <w:lang w:val="en-US"/>
        </w:rPr>
        <w:t>QUIK</w:t>
      </w:r>
      <w:r w:rsidR="009613D3" w:rsidRPr="00B25B83">
        <w:t xml:space="preserve"> с Простой ЭП)</w:t>
      </w:r>
      <w:r w:rsidRPr="00B25B83">
        <w:t>.</w:t>
      </w:r>
      <w:r w:rsidR="005E2F83" w:rsidRPr="00B25B83">
        <w:t xml:space="preserve"> </w:t>
      </w:r>
    </w:p>
    <w:p w14:paraId="5EC84790" w14:textId="77777777" w:rsidR="006827F5" w:rsidRPr="00B25B83" w:rsidRDefault="006827F5" w:rsidP="006827F5"/>
    <w:p w14:paraId="38B5DDFB" w14:textId="77777777" w:rsidR="007D0C8C" w:rsidRDefault="007D0C8C" w:rsidP="002312C0">
      <w:pPr>
        <w:pStyle w:val="1"/>
        <w:rPr>
          <w:sz w:val="24"/>
          <w:szCs w:val="24"/>
        </w:rPr>
      </w:pPr>
      <w:bookmarkStart w:id="67" w:name="_Toc495213090"/>
      <w:bookmarkStart w:id="68" w:name="_Toc496940016"/>
      <w:bookmarkStart w:id="69" w:name="_Toc496940364"/>
      <w:bookmarkStart w:id="70" w:name="РеглСтатья6_1"/>
      <w:bookmarkStart w:id="71" w:name="_Toc153806388"/>
      <w:r w:rsidRPr="00B25B83">
        <w:rPr>
          <w:sz w:val="24"/>
          <w:szCs w:val="24"/>
        </w:rPr>
        <w:t>ВНЕСЕНИЕ ИЗМЕНЕНИЙ В ПОРЯДОК</w:t>
      </w:r>
      <w:bookmarkEnd w:id="67"/>
      <w:bookmarkEnd w:id="68"/>
      <w:bookmarkEnd w:id="69"/>
      <w:bookmarkEnd w:id="70"/>
      <w:bookmarkEnd w:id="71"/>
    </w:p>
    <w:p w14:paraId="18D6AE38" w14:textId="77777777" w:rsidR="00997321" w:rsidRPr="00997321" w:rsidRDefault="00997321" w:rsidP="00997321"/>
    <w:p w14:paraId="3411B9CE" w14:textId="77C5F0C6" w:rsidR="007D0C8C" w:rsidRPr="00B25B83" w:rsidRDefault="007D0C8C" w:rsidP="007A53FC">
      <w:pPr>
        <w:pStyle w:val="2"/>
      </w:pPr>
      <w:r w:rsidRPr="00B25B83">
        <w:t xml:space="preserve">Внесение изменений и дополнений в настоящий Порядок производится Банком в соответствии с </w:t>
      </w:r>
      <w:r w:rsidR="004C4B59" w:rsidRPr="00B25B83">
        <w:t>разделом</w:t>
      </w:r>
      <w:r w:rsidR="00D839CF" w:rsidRPr="00B25B83">
        <w:t xml:space="preserve"> </w:t>
      </w:r>
      <w:r w:rsidRPr="00B25B83">
        <w:t>2</w:t>
      </w:r>
      <w:r w:rsidR="006827F5" w:rsidRPr="00B25B83">
        <w:t>3</w:t>
      </w:r>
      <w:r w:rsidRPr="00B25B83">
        <w:t xml:space="preserve"> Регламента.</w:t>
      </w:r>
    </w:p>
    <w:p w14:paraId="2711E296" w14:textId="7526D423" w:rsidR="007D0C8C" w:rsidRPr="00B25B83" w:rsidRDefault="007D0C8C" w:rsidP="007A53FC">
      <w:pPr>
        <w:pStyle w:val="2"/>
      </w:pPr>
      <w:r w:rsidRPr="00B25B83">
        <w:t xml:space="preserve">В случае несогласия Клиента с вносимыми Банком в одностороннем порядке изменениями Клиент имеет право отказаться от получения дополнительных услуг по настоящему Порядку путем направления Банку </w:t>
      </w:r>
      <w:r w:rsidR="009613D3" w:rsidRPr="00B25B83">
        <w:t xml:space="preserve">Заявки на отказ от использования ИТС </w:t>
      </w:r>
      <w:r w:rsidR="009613D3" w:rsidRPr="00B25B83">
        <w:rPr>
          <w:lang w:val="en-US"/>
        </w:rPr>
        <w:t>QUIK</w:t>
      </w:r>
      <w:r w:rsidR="009613D3" w:rsidRPr="00B25B83">
        <w:t xml:space="preserve"> (Приложение №1</w:t>
      </w:r>
      <w:r w:rsidR="00F91B19">
        <w:t>4а</w:t>
      </w:r>
      <w:r w:rsidR="009613D3" w:rsidRPr="00B25B83">
        <w:t xml:space="preserve"> к Порядку)</w:t>
      </w:r>
      <w:r w:rsidR="00F63522" w:rsidRPr="00B25B83">
        <w:t xml:space="preserve"> </w:t>
      </w:r>
      <w:r w:rsidRPr="00B25B83">
        <w:t xml:space="preserve">не позднее, чем за </w:t>
      </w:r>
      <w:r w:rsidR="00A9153E" w:rsidRPr="00B25B83">
        <w:t>1 (О</w:t>
      </w:r>
      <w:r w:rsidRPr="00B25B83">
        <w:t>дин</w:t>
      </w:r>
      <w:r w:rsidR="00A9153E" w:rsidRPr="00B25B83">
        <w:t>)</w:t>
      </w:r>
      <w:r w:rsidRPr="00B25B83">
        <w:t xml:space="preserve"> рабочий день до даты отказа от Порядка.</w:t>
      </w:r>
    </w:p>
    <w:p w14:paraId="42218CAB" w14:textId="77777777" w:rsidR="00B25B83" w:rsidRPr="00B25B83" w:rsidRDefault="00B25B83" w:rsidP="00B25B83"/>
    <w:p w14:paraId="742E6AA8" w14:textId="77777777" w:rsidR="007D0C8C" w:rsidRPr="00B25B83" w:rsidRDefault="007D0C8C" w:rsidP="002312C0">
      <w:pPr>
        <w:pStyle w:val="1"/>
        <w:rPr>
          <w:sz w:val="24"/>
          <w:szCs w:val="24"/>
        </w:rPr>
      </w:pPr>
      <w:bookmarkStart w:id="72" w:name="_Toc495213091"/>
      <w:bookmarkStart w:id="73" w:name="_Toc496940017"/>
      <w:bookmarkStart w:id="74" w:name="_Toc496940365"/>
      <w:bookmarkStart w:id="75" w:name="РеглСтатья6_2"/>
      <w:bookmarkStart w:id="76" w:name="_Toc153806389"/>
      <w:r w:rsidRPr="00B25B83">
        <w:rPr>
          <w:sz w:val="24"/>
          <w:szCs w:val="24"/>
        </w:rPr>
        <w:t>ПРИОСТАНОВКА/ПРЕКРАЩЕНИЕ ДЕЙСТВИЯ НАСТОЯЩЕГО ПОРЯДКА</w:t>
      </w:r>
      <w:bookmarkEnd w:id="72"/>
      <w:bookmarkEnd w:id="73"/>
      <w:bookmarkEnd w:id="74"/>
      <w:bookmarkEnd w:id="75"/>
      <w:bookmarkEnd w:id="76"/>
    </w:p>
    <w:p w14:paraId="612784C7" w14:textId="77777777" w:rsidR="00B25B83" w:rsidRPr="00B25B83" w:rsidRDefault="00B25B83" w:rsidP="00B25B83"/>
    <w:p w14:paraId="33BEAAE4" w14:textId="14773E0F" w:rsidR="007D0C8C" w:rsidRPr="00B25B83" w:rsidRDefault="007D0C8C" w:rsidP="007A53FC">
      <w:pPr>
        <w:pStyle w:val="2"/>
      </w:pPr>
      <w:r w:rsidRPr="00B25B83">
        <w:t>Прекращение действия настоящего Порядка не влечет за собой прекращение действия Соглашения. При этом при прекращении действия Соглашения</w:t>
      </w:r>
      <w:r w:rsidR="003F705D" w:rsidRPr="00B25B83">
        <w:t xml:space="preserve"> и/или Соглашения об использовании ЭП</w:t>
      </w:r>
      <w:r w:rsidRPr="00B25B83">
        <w:t xml:space="preserve"> действие настоящего Порядка прекращается автоматически.</w:t>
      </w:r>
    </w:p>
    <w:p w14:paraId="34AEAA0C" w14:textId="77777777" w:rsidR="007D0C8C" w:rsidRPr="00B25B83" w:rsidRDefault="007D0C8C" w:rsidP="007A53FC">
      <w:pPr>
        <w:pStyle w:val="2"/>
      </w:pPr>
      <w:bookmarkStart w:id="77" w:name="_Ref219709945"/>
      <w:r w:rsidRPr="00B25B83">
        <w:t xml:space="preserve">В любой момент любая из Сторон может временно приостановить/прекратить предоставление/получение дополнительных услуг в рамках настоящего Порядка в случаях, предусмотренных настоящим Порядком и Регламентом, при условии извещения другой Стороны в письменной форме не позднее, чем за </w:t>
      </w:r>
      <w:r w:rsidR="00A9153E" w:rsidRPr="00B25B83">
        <w:t>1 (О</w:t>
      </w:r>
      <w:r w:rsidRPr="00B25B83">
        <w:t>дин</w:t>
      </w:r>
      <w:r w:rsidR="00A9153E" w:rsidRPr="00B25B83">
        <w:t>)</w:t>
      </w:r>
      <w:r w:rsidRPr="00B25B83">
        <w:t xml:space="preserve"> рабочий день до даты приостановления/прекращения действия Порядка.</w:t>
      </w:r>
      <w:bookmarkEnd w:id="77"/>
    </w:p>
    <w:p w14:paraId="2BBE5132" w14:textId="75252439" w:rsidR="00600D06" w:rsidRPr="00B25B83" w:rsidRDefault="00600D06" w:rsidP="007A53FC">
      <w:pPr>
        <w:pStyle w:val="2"/>
      </w:pPr>
      <w:r w:rsidRPr="00B25B83">
        <w:t>Возобновление действия настоящего Порядка после его приостановки по инициативе Клиента, осуществляется в соответствии с требованиями, установленным Приложени</w:t>
      </w:r>
      <w:r w:rsidR="008372F3" w:rsidRPr="00B25B83">
        <w:t>ем</w:t>
      </w:r>
      <w:r w:rsidRPr="00B25B83">
        <w:t xml:space="preserve"> №</w:t>
      </w:r>
      <w:r w:rsidR="00F91B19">
        <w:t>1</w:t>
      </w:r>
      <w:r w:rsidRPr="00B25B83">
        <w:t>4</w:t>
      </w:r>
      <w:r w:rsidR="00F91B19">
        <w:t>а</w:t>
      </w:r>
      <w:r w:rsidRPr="00B25B83">
        <w:t xml:space="preserve"> настоящего Порядка, до начала использования Клиентом ИТС </w:t>
      </w:r>
      <w:r w:rsidRPr="00B25B83">
        <w:rPr>
          <w:lang w:val="en-US"/>
        </w:rPr>
        <w:t>QUIK</w:t>
      </w:r>
      <w:r w:rsidRPr="00B25B83">
        <w:t>.</w:t>
      </w:r>
    </w:p>
    <w:p w14:paraId="3F3DC5E7" w14:textId="77777777" w:rsidR="007D0C8C" w:rsidRPr="00B25B83" w:rsidRDefault="007D0C8C" w:rsidP="007A53FC">
      <w:pPr>
        <w:pStyle w:val="2"/>
      </w:pPr>
      <w:r w:rsidRPr="00B25B83">
        <w:t xml:space="preserve">При прекращении действия Порядка Клиент обязан в течение </w:t>
      </w:r>
      <w:r w:rsidR="00A9153E" w:rsidRPr="00B25B83">
        <w:t>3 (Т</w:t>
      </w:r>
      <w:r w:rsidRPr="00B25B83">
        <w:t>рех</w:t>
      </w:r>
      <w:r w:rsidR="00A9153E" w:rsidRPr="00B25B83">
        <w:t>)</w:t>
      </w:r>
      <w:r w:rsidRPr="00B25B83">
        <w:t xml:space="preserve"> рабочих дней с даты прекращения действия настоящего Порядка:</w:t>
      </w:r>
    </w:p>
    <w:p w14:paraId="3FDE077C" w14:textId="77777777" w:rsidR="007D0C8C" w:rsidRPr="00B25B83" w:rsidRDefault="007D0C8C" w:rsidP="001E549B">
      <w:pPr>
        <w:pStyle w:val="3"/>
      </w:pPr>
      <w:r w:rsidRPr="00B25B83">
        <w:t>удалить все компоненты ИТС</w:t>
      </w:r>
      <w:r w:rsidR="00F63C3D" w:rsidRPr="00B25B83">
        <w:t xml:space="preserve"> </w:t>
      </w:r>
      <w:r w:rsidR="00F63C3D" w:rsidRPr="00B25B83">
        <w:rPr>
          <w:lang w:val="en-US"/>
        </w:rPr>
        <w:t>QUIK</w:t>
      </w:r>
      <w:r w:rsidRPr="00B25B83">
        <w:t>, полученные им от Банка, и вернуть последнему соответствующий Дистрибутивный пакет (если таковой передавался Клиенту Банком на цифровом носителе);</w:t>
      </w:r>
    </w:p>
    <w:p w14:paraId="43D1EE59" w14:textId="77777777" w:rsidR="007D0C8C" w:rsidRPr="00B25B83" w:rsidRDefault="007D0C8C" w:rsidP="001E549B">
      <w:pPr>
        <w:pStyle w:val="3"/>
      </w:pPr>
      <w:r w:rsidRPr="00B25B83">
        <w:t>в случае необходимости завершить денежные взаиморасчеты с Банком в отношении дополнительных услуг, оказанных в соответствии с настоящим Порядком до даты его прекращения;</w:t>
      </w:r>
    </w:p>
    <w:p w14:paraId="67B19F0D" w14:textId="77777777" w:rsidR="007D0C8C" w:rsidRPr="00B25B83" w:rsidRDefault="007D0C8C" w:rsidP="001E549B">
      <w:pPr>
        <w:pStyle w:val="3"/>
      </w:pPr>
      <w:r w:rsidRPr="00B25B83">
        <w:lastRenderedPageBreak/>
        <w:t>Прекращение действия настоящего Порядка влечет прекращение содержащихся в нем обязательств, за исключением определенных в настоящем разделе Порядка и необходимых для реализации Сторонами положений настоящего раздела. Такие обязательства будут действовать до момента их исполнения.</w:t>
      </w:r>
    </w:p>
    <w:p w14:paraId="242FA3F2" w14:textId="77777777" w:rsidR="007D0C8C" w:rsidRDefault="007D0C8C" w:rsidP="002312C0">
      <w:pPr>
        <w:pStyle w:val="1"/>
        <w:rPr>
          <w:sz w:val="24"/>
          <w:szCs w:val="24"/>
        </w:rPr>
      </w:pPr>
      <w:bookmarkStart w:id="78" w:name="_Toc495213092"/>
      <w:bookmarkStart w:id="79" w:name="_Toc496940018"/>
      <w:bookmarkStart w:id="80" w:name="_Toc496940366"/>
      <w:bookmarkStart w:id="81" w:name="РеглСтатья6_3"/>
      <w:bookmarkStart w:id="82" w:name="_Toc153806390"/>
      <w:r w:rsidRPr="00B25B83">
        <w:rPr>
          <w:sz w:val="24"/>
          <w:szCs w:val="24"/>
        </w:rPr>
        <w:t>ПРОЧИЕ ПОЛОЖЕНИЯ</w:t>
      </w:r>
      <w:bookmarkEnd w:id="78"/>
      <w:bookmarkEnd w:id="79"/>
      <w:bookmarkEnd w:id="80"/>
      <w:bookmarkEnd w:id="81"/>
      <w:bookmarkEnd w:id="82"/>
    </w:p>
    <w:p w14:paraId="38C36EC4" w14:textId="77777777" w:rsidR="005243AE" w:rsidRPr="005243AE" w:rsidRDefault="005243AE" w:rsidP="005243AE"/>
    <w:p w14:paraId="52B135CF" w14:textId="77777777" w:rsidR="007D0C8C" w:rsidRPr="00B25B83" w:rsidRDefault="007D0C8C" w:rsidP="007A53FC">
      <w:pPr>
        <w:pStyle w:val="2"/>
      </w:pPr>
      <w:r w:rsidRPr="00B25B83">
        <w:t xml:space="preserve">В случае наличия расхождений и/или противоречий между положениями Регламента и настоящего Порядка приоритет имеют положения </w:t>
      </w:r>
      <w:r w:rsidR="006D643C" w:rsidRPr="00B25B83">
        <w:t>настоящего Порядка</w:t>
      </w:r>
      <w:r w:rsidRPr="00B25B83">
        <w:t>, за исключением случаев, когда прямо установлено иное.</w:t>
      </w:r>
    </w:p>
    <w:p w14:paraId="736A1732" w14:textId="77777777" w:rsidR="007D0C8C" w:rsidRPr="00B25B83" w:rsidRDefault="007D0C8C" w:rsidP="007A53FC">
      <w:pPr>
        <w:pStyle w:val="2"/>
      </w:pPr>
      <w:r w:rsidRPr="00B25B83">
        <w:t>Стороны договорились, помимо случаев, предусмотренных Регламентом, не считать разглашением конфиденциальной информации случаи раскрытия информации участникам процедуры разрешения споров и разногласий, предусмотренной настоящим Порядком и Регламентом.</w:t>
      </w:r>
    </w:p>
    <w:p w14:paraId="4808C091" w14:textId="77777777" w:rsidR="007D0C8C" w:rsidRPr="00B25B83" w:rsidRDefault="007D0C8C" w:rsidP="007A53FC">
      <w:pPr>
        <w:pStyle w:val="2"/>
      </w:pPr>
      <w:r w:rsidRPr="00B25B83">
        <w:t>В соответствии с настоящим Порядком Клиент НЕ приобретает исключительных прав на использование ИТС</w:t>
      </w:r>
      <w:r w:rsidR="00F63C3D" w:rsidRPr="00B25B83">
        <w:t xml:space="preserve"> </w:t>
      </w:r>
      <w:r w:rsidR="00F63C3D" w:rsidRPr="00B25B83">
        <w:rPr>
          <w:lang w:val="en-US"/>
        </w:rPr>
        <w:t>QUIK</w:t>
      </w:r>
      <w:r w:rsidRPr="00B25B83">
        <w:t>, а также каких-либо прав на его передачу, воспроизведение или распространение.</w:t>
      </w:r>
    </w:p>
    <w:p w14:paraId="3B038423" w14:textId="77777777" w:rsidR="00B25B83" w:rsidRPr="00B25B83" w:rsidRDefault="00B25B83" w:rsidP="00B25B83"/>
    <w:p w14:paraId="12D047A1" w14:textId="77777777" w:rsidR="007D0C8C" w:rsidRPr="00B25B83" w:rsidRDefault="007D0C8C" w:rsidP="002312C0">
      <w:pPr>
        <w:pStyle w:val="1"/>
        <w:rPr>
          <w:sz w:val="24"/>
          <w:szCs w:val="24"/>
        </w:rPr>
      </w:pPr>
      <w:bookmarkStart w:id="83" w:name="_Toc496940019"/>
      <w:bookmarkStart w:id="84" w:name="_Toc496940367"/>
      <w:bookmarkStart w:id="85" w:name="РеглГлава7"/>
      <w:bookmarkStart w:id="86" w:name="_Toc153806391"/>
      <w:r w:rsidRPr="00B25B83">
        <w:rPr>
          <w:sz w:val="24"/>
          <w:szCs w:val="24"/>
        </w:rPr>
        <w:t>ТЕХНИЧЕСКИЕ ХАРАКТЕРИСТИКИ</w:t>
      </w:r>
      <w:bookmarkEnd w:id="83"/>
      <w:bookmarkEnd w:id="84"/>
      <w:bookmarkEnd w:id="85"/>
      <w:bookmarkEnd w:id="86"/>
    </w:p>
    <w:p w14:paraId="439BDDDC" w14:textId="77777777" w:rsidR="00B25B83" w:rsidRPr="00B25B83" w:rsidRDefault="00B25B83" w:rsidP="00B25B83"/>
    <w:p w14:paraId="5B58B3DE" w14:textId="77777777" w:rsidR="007D0C8C" w:rsidRPr="00B25B83" w:rsidRDefault="007D0C8C" w:rsidP="007A53FC">
      <w:pPr>
        <w:pStyle w:val="2"/>
      </w:pPr>
      <w:bookmarkStart w:id="87" w:name="_Toc496940020"/>
      <w:bookmarkStart w:id="88" w:name="_Toc496940368"/>
      <w:bookmarkStart w:id="89" w:name="РеглСтатья7_1"/>
      <w:r w:rsidRPr="00B25B83">
        <w:t xml:space="preserve">Разработчики </w:t>
      </w:r>
      <w:bookmarkEnd w:id="87"/>
      <w:bookmarkEnd w:id="88"/>
      <w:bookmarkEnd w:id="89"/>
      <w:r w:rsidRPr="00B25B83">
        <w:t>ИТС</w:t>
      </w:r>
      <w:r w:rsidR="00A9153E" w:rsidRPr="00B25B83">
        <w:t xml:space="preserve"> </w:t>
      </w:r>
      <w:r w:rsidR="00A9153E" w:rsidRPr="00B25B83">
        <w:rPr>
          <w:lang w:val="en-US"/>
        </w:rPr>
        <w:t>QUIK</w:t>
      </w:r>
      <w:r w:rsidRPr="00B25B83">
        <w:t>:</w:t>
      </w:r>
    </w:p>
    <w:p w14:paraId="74F93751" w14:textId="77777777" w:rsidR="007D0C8C" w:rsidRPr="00B25B83" w:rsidRDefault="007D0C8C" w:rsidP="001E549B">
      <w:pPr>
        <w:pStyle w:val="3"/>
      </w:pPr>
      <w:r w:rsidRPr="00B25B83">
        <w:t xml:space="preserve">Разработчиком ИТС </w:t>
      </w:r>
      <w:r w:rsidRPr="00B25B83">
        <w:rPr>
          <w:lang w:val="en-US"/>
        </w:rPr>
        <w:t>QUIK</w:t>
      </w:r>
      <w:r w:rsidRPr="00B25B83">
        <w:t xml:space="preserve">, используемого </w:t>
      </w:r>
      <w:r w:rsidR="006F3A80" w:rsidRPr="00B25B83">
        <w:t>С</w:t>
      </w:r>
      <w:r w:rsidRPr="00B25B83">
        <w:t>торонами при осуществлении взаимодействия в рамках Порядка и Соглашения, является ЗАО «АРКА Текнолоджиз»</w:t>
      </w:r>
      <w:r w:rsidR="006F3A80" w:rsidRPr="00B25B83">
        <w:t>.</w:t>
      </w:r>
    </w:p>
    <w:p w14:paraId="17CC1F4E" w14:textId="77777777" w:rsidR="007D0C8C" w:rsidRPr="00B25B83" w:rsidRDefault="00E44F2E" w:rsidP="001E549B">
      <w:pPr>
        <w:pStyle w:val="3"/>
      </w:pPr>
      <w:bookmarkStart w:id="90" w:name="NI_Кл_услуги"/>
      <w:bookmarkStart w:id="91" w:name="_Ref219709971"/>
      <w:r w:rsidRPr="00B25B83">
        <w:t xml:space="preserve">В соответствии с условиями заключенного Банком с разработчиком соглашения </w:t>
      </w:r>
      <w:r w:rsidR="006F3A80" w:rsidRPr="00B25B83">
        <w:t xml:space="preserve">разработчик </w:t>
      </w:r>
      <w:r w:rsidRPr="00B25B83">
        <w:t>обязуется в течение всего срока действия так</w:t>
      </w:r>
      <w:r w:rsidR="00950D39" w:rsidRPr="00B25B83">
        <w:t>ого</w:t>
      </w:r>
      <w:r w:rsidRPr="00B25B83">
        <w:t xml:space="preserve"> соглашения осуществлять абонентское обслуживание ИТС </w:t>
      </w:r>
      <w:r w:rsidRPr="00B25B83">
        <w:rPr>
          <w:lang w:val="en-US"/>
        </w:rPr>
        <w:t>QUIK</w:t>
      </w:r>
      <w:r w:rsidRPr="00B25B83">
        <w:t>, включающее консультации по эксплуатации и администрированию, содействие при восстановлении работоспособности после сбоев, устранение обнаруженных в процессе эксплуатации дефектов, передачу обновлений эксплуатируемой версии ИТС</w:t>
      </w:r>
      <w:r w:rsidR="00F63C3D" w:rsidRPr="00B25B83">
        <w:t xml:space="preserve"> </w:t>
      </w:r>
      <w:r w:rsidR="00F63C3D" w:rsidRPr="00B25B83">
        <w:rPr>
          <w:lang w:val="en-US"/>
        </w:rPr>
        <w:t>QUIK</w:t>
      </w:r>
      <w:r w:rsidRPr="00B25B83">
        <w:t>.</w:t>
      </w:r>
      <w:bookmarkEnd w:id="90"/>
      <w:bookmarkEnd w:id="91"/>
    </w:p>
    <w:p w14:paraId="174E2F4E" w14:textId="77777777" w:rsidR="007D0C8C" w:rsidRPr="00B25B83" w:rsidRDefault="007D0C8C" w:rsidP="007A53FC">
      <w:pPr>
        <w:pStyle w:val="2"/>
      </w:pPr>
      <w:r w:rsidRPr="00B25B83">
        <w:t>По всем вопросам, перечисленным в п</w:t>
      </w:r>
      <w:r w:rsidR="00D839CF" w:rsidRPr="00B25B83">
        <w:t>.</w:t>
      </w:r>
      <w:r w:rsidRPr="00B25B83">
        <w:t>1</w:t>
      </w:r>
      <w:r w:rsidR="00F63C3D" w:rsidRPr="00B25B83">
        <w:t>1</w:t>
      </w:r>
      <w:r w:rsidRPr="00B25B83">
        <w:t>.1.</w:t>
      </w:r>
      <w:r w:rsidR="0011781B" w:rsidRPr="00B25B83">
        <w:t>2</w:t>
      </w:r>
      <w:r w:rsidRPr="00B25B83">
        <w:t xml:space="preserve"> настоящего Порядка, Клиент</w:t>
      </w:r>
      <w:r w:rsidR="005B1431" w:rsidRPr="00B25B83">
        <w:t xml:space="preserve"> имеет право</w:t>
      </w:r>
      <w:r w:rsidRPr="00B25B83">
        <w:t xml:space="preserve"> </w:t>
      </w:r>
      <w:r w:rsidR="005B1431" w:rsidRPr="00B25B83">
        <w:t xml:space="preserve">обратиться </w:t>
      </w:r>
      <w:r w:rsidRPr="00B25B83">
        <w:t>непосредственно к разработчику ИТС</w:t>
      </w:r>
      <w:r w:rsidR="00A9153E" w:rsidRPr="00B25B83">
        <w:t xml:space="preserve"> </w:t>
      </w:r>
      <w:r w:rsidR="00A9153E" w:rsidRPr="00B25B83">
        <w:rPr>
          <w:lang w:val="en-US"/>
        </w:rPr>
        <w:t>QUIK</w:t>
      </w:r>
      <w:r w:rsidRPr="00B25B83">
        <w:t xml:space="preserve"> по указанным выше реквизитам, ссылаясь при этом, если необходимо, на условия договора между Банком и разработчиком.</w:t>
      </w:r>
    </w:p>
    <w:p w14:paraId="2D796E92" w14:textId="77777777" w:rsidR="007D0C8C" w:rsidRPr="00B25B83" w:rsidRDefault="007D0C8C" w:rsidP="007A53FC">
      <w:pPr>
        <w:pStyle w:val="2"/>
      </w:pPr>
      <w:r w:rsidRPr="00B25B83">
        <w:t>Банк обязуется оказывать Клиенту необходимое содействие в процессе взаимодействия Клиента с разработчиком, а при наличии возможности и/или технических ресурсов – самостоятельно прин</w:t>
      </w:r>
      <w:r w:rsidR="006F3A80" w:rsidRPr="00B25B83">
        <w:t>има</w:t>
      </w:r>
      <w:r w:rsidRPr="00B25B83">
        <w:t>ть меры и прилагать усилия для устранения причин или разрешения вопросов, послуживших причиной обращения Клиента к разработчику.</w:t>
      </w:r>
    </w:p>
    <w:p w14:paraId="2693A976" w14:textId="77777777" w:rsidR="00AD33F1" w:rsidRPr="00B25B83" w:rsidRDefault="003C3B24" w:rsidP="007A53FC">
      <w:pPr>
        <w:pStyle w:val="2"/>
      </w:pPr>
      <w:r w:rsidRPr="00B25B83">
        <w:t xml:space="preserve">Руководство пользователя ИТС </w:t>
      </w:r>
      <w:r w:rsidR="00A3708F" w:rsidRPr="00B25B83">
        <w:rPr>
          <w:lang w:val="en-US"/>
        </w:rPr>
        <w:t>QUIK</w:t>
      </w:r>
      <w:r w:rsidR="00A3708F" w:rsidRPr="00B25B83">
        <w:t xml:space="preserve"> </w:t>
      </w:r>
      <w:r w:rsidRPr="00B25B83">
        <w:t>Клиент может получить на сайте разработчика, указанного в п.1</w:t>
      </w:r>
      <w:r w:rsidR="00D64C58" w:rsidRPr="00B25B83">
        <w:t>1</w:t>
      </w:r>
      <w:r w:rsidRPr="00B25B83">
        <w:t>.2 настоящего Порядка.</w:t>
      </w:r>
    </w:p>
    <w:p w14:paraId="09D8E638" w14:textId="77777777" w:rsidR="007D0C8C" w:rsidRPr="00B25B83" w:rsidRDefault="007D0C8C" w:rsidP="007A53FC">
      <w:pPr>
        <w:pStyle w:val="2"/>
      </w:pPr>
      <w:bookmarkStart w:id="92" w:name="РеглСтатья7_3"/>
      <w:r w:rsidRPr="00B25B83">
        <w:lastRenderedPageBreak/>
        <w:t>Технические требования к оборудованию и каналам связи</w:t>
      </w:r>
      <w:bookmarkEnd w:id="92"/>
      <w:r w:rsidRPr="00B25B83">
        <w:t>.</w:t>
      </w:r>
    </w:p>
    <w:p w14:paraId="08FA4697" w14:textId="77777777" w:rsidR="00B25B83" w:rsidRPr="00B25B83" w:rsidRDefault="00B25B83" w:rsidP="00B25B83"/>
    <w:p w14:paraId="5B61835B" w14:textId="77777777" w:rsidR="00B25B83" w:rsidRPr="00B25B83" w:rsidRDefault="00B25B83" w:rsidP="00B25B83"/>
    <w:p w14:paraId="6104975B" w14:textId="77777777" w:rsidR="007D0C8C" w:rsidRPr="00B25B83" w:rsidRDefault="007D0C8C" w:rsidP="002312C0">
      <w:pPr>
        <w:ind w:firstLine="0"/>
      </w:pPr>
    </w:p>
    <w:p w14:paraId="082F73ED" w14:textId="77777777" w:rsidR="007D0C8C" w:rsidRPr="00B25B83" w:rsidRDefault="007D0C8C" w:rsidP="002312C0">
      <w:pPr>
        <w:ind w:firstLine="0"/>
      </w:pPr>
      <w:r w:rsidRPr="00B25B83">
        <w:t xml:space="preserve">Для инсталляции программного обеспечения ИТС </w:t>
      </w:r>
      <w:r w:rsidR="00A3708F" w:rsidRPr="00B25B83">
        <w:rPr>
          <w:lang w:val="en-US"/>
        </w:rPr>
        <w:t>QUIK</w:t>
      </w:r>
      <w:r w:rsidR="00A3708F" w:rsidRPr="00B25B83">
        <w:t xml:space="preserve"> </w:t>
      </w:r>
      <w:r w:rsidRPr="00B25B83">
        <w:t>на компьютерном оборудовании Клиента должны быть выполнены следующие требования:</w:t>
      </w:r>
    </w:p>
    <w:p w14:paraId="1F7EF3DC" w14:textId="77777777" w:rsidR="006F3A80" w:rsidRPr="00B25B83" w:rsidRDefault="006F3A80" w:rsidP="002312C0">
      <w:pPr>
        <w:ind w:firstLine="0"/>
      </w:pPr>
    </w:p>
    <w:tbl>
      <w:tblPr>
        <w:tblW w:w="960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6565"/>
      </w:tblGrid>
      <w:tr w:rsidR="007D0C8C" w:rsidRPr="00B25B83" w14:paraId="0A133F7B" w14:textId="77777777" w:rsidTr="00D9395F">
        <w:trPr>
          <w:trHeight w:val="300"/>
          <w:jc w:val="center"/>
        </w:trPr>
        <w:tc>
          <w:tcPr>
            <w:tcW w:w="3040" w:type="dxa"/>
            <w:vAlign w:val="center"/>
          </w:tcPr>
          <w:p w14:paraId="645E1191" w14:textId="77777777" w:rsidR="007D0C8C" w:rsidRPr="00B25B83" w:rsidRDefault="007D0C8C" w:rsidP="002312C0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Процессор</w:t>
            </w:r>
          </w:p>
        </w:tc>
        <w:tc>
          <w:tcPr>
            <w:tcW w:w="6565" w:type="dxa"/>
            <w:vAlign w:val="center"/>
          </w:tcPr>
          <w:p w14:paraId="07D4CEEE" w14:textId="77777777" w:rsidR="007D0C8C" w:rsidRPr="00B25B83" w:rsidRDefault="008D5093" w:rsidP="002312C0">
            <w:pPr>
              <w:ind w:firstLine="0"/>
              <w:rPr>
                <w:snapToGrid w:val="0"/>
              </w:rPr>
            </w:pPr>
            <w:r w:rsidRPr="00B25B83">
              <w:rPr>
                <w:color w:val="000000"/>
              </w:rPr>
              <w:t>не хуже Pentium 4 (2.0 ГГц)</w:t>
            </w:r>
          </w:p>
        </w:tc>
      </w:tr>
      <w:tr w:rsidR="007D0C8C" w:rsidRPr="00B25B83" w14:paraId="13D8FE84" w14:textId="77777777" w:rsidTr="00D9395F">
        <w:trPr>
          <w:trHeight w:val="300"/>
          <w:jc w:val="center"/>
        </w:trPr>
        <w:tc>
          <w:tcPr>
            <w:tcW w:w="3040" w:type="dxa"/>
            <w:vAlign w:val="center"/>
          </w:tcPr>
          <w:p w14:paraId="1F76FBF2" w14:textId="77777777" w:rsidR="007D0C8C" w:rsidRPr="00B25B83" w:rsidRDefault="007D0C8C" w:rsidP="002312C0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RAM</w:t>
            </w:r>
          </w:p>
        </w:tc>
        <w:tc>
          <w:tcPr>
            <w:tcW w:w="6565" w:type="dxa"/>
            <w:vAlign w:val="center"/>
          </w:tcPr>
          <w:p w14:paraId="32AC3779" w14:textId="77777777" w:rsidR="007D0C8C" w:rsidRPr="00B25B83" w:rsidRDefault="008D5093" w:rsidP="002312C0">
            <w:pPr>
              <w:ind w:firstLine="0"/>
              <w:rPr>
                <w:snapToGrid w:val="0"/>
              </w:rPr>
            </w:pPr>
            <w:r w:rsidRPr="00B25B83">
              <w:rPr>
                <w:color w:val="000000"/>
              </w:rPr>
              <w:t>не менее 1 ГБ (рекомендуется 4 ГБ)</w:t>
            </w:r>
          </w:p>
        </w:tc>
      </w:tr>
      <w:tr w:rsidR="007D0C8C" w:rsidRPr="00B25B83" w14:paraId="0811B279" w14:textId="77777777" w:rsidTr="00D9395F">
        <w:trPr>
          <w:trHeight w:val="300"/>
          <w:jc w:val="center"/>
        </w:trPr>
        <w:tc>
          <w:tcPr>
            <w:tcW w:w="3040" w:type="dxa"/>
            <w:vAlign w:val="center"/>
          </w:tcPr>
          <w:p w14:paraId="06A8D477" w14:textId="77777777" w:rsidR="007D0C8C" w:rsidRPr="00B25B83" w:rsidRDefault="007D0C8C" w:rsidP="002312C0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Свободное место на диске</w:t>
            </w:r>
          </w:p>
        </w:tc>
        <w:tc>
          <w:tcPr>
            <w:tcW w:w="6565" w:type="dxa"/>
            <w:vAlign w:val="center"/>
          </w:tcPr>
          <w:p w14:paraId="15EB89C9" w14:textId="77777777" w:rsidR="007D0C8C" w:rsidRPr="00B25B83" w:rsidRDefault="008D5093" w:rsidP="00AD37E0">
            <w:pPr>
              <w:pStyle w:val="aff3"/>
              <w:rPr>
                <w:snapToGrid w:val="0"/>
              </w:rPr>
            </w:pPr>
            <w:r w:rsidRPr="00B25B83">
              <w:rPr>
                <w:color w:val="000000"/>
              </w:rPr>
              <w:t>2 ГБ свободного места на жестком диске</w:t>
            </w:r>
          </w:p>
        </w:tc>
      </w:tr>
      <w:tr w:rsidR="007D0C8C" w:rsidRPr="00665FFC" w14:paraId="31DE3214" w14:textId="77777777" w:rsidTr="00D9395F">
        <w:trPr>
          <w:trHeight w:val="300"/>
          <w:jc w:val="center"/>
        </w:trPr>
        <w:tc>
          <w:tcPr>
            <w:tcW w:w="3040" w:type="dxa"/>
            <w:vAlign w:val="center"/>
          </w:tcPr>
          <w:p w14:paraId="29F88641" w14:textId="77777777" w:rsidR="007D0C8C" w:rsidRPr="00B25B83" w:rsidRDefault="007D0C8C" w:rsidP="002312C0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Операционная система</w:t>
            </w:r>
          </w:p>
        </w:tc>
        <w:tc>
          <w:tcPr>
            <w:tcW w:w="6565" w:type="dxa"/>
            <w:vAlign w:val="center"/>
          </w:tcPr>
          <w:p w14:paraId="3E432B3A" w14:textId="77777777" w:rsidR="007D0C8C" w:rsidRPr="00B25B83" w:rsidRDefault="008D5093" w:rsidP="002312C0">
            <w:pPr>
              <w:ind w:firstLine="0"/>
              <w:rPr>
                <w:snapToGrid w:val="0"/>
                <w:lang w:val="en-US"/>
              </w:rPr>
            </w:pPr>
            <w:r w:rsidRPr="00B25B83">
              <w:rPr>
                <w:color w:val="000000"/>
                <w:lang w:val="en-US"/>
              </w:rPr>
              <w:t>Windows XP/Vista/2008/Windows 7/2012/Windows 8/Windows 10</w:t>
            </w:r>
          </w:p>
        </w:tc>
      </w:tr>
      <w:tr w:rsidR="007D0C8C" w:rsidRPr="00B25B83" w14:paraId="3ECB3B41" w14:textId="77777777" w:rsidTr="00D9395F">
        <w:trPr>
          <w:trHeight w:val="300"/>
          <w:jc w:val="center"/>
        </w:trPr>
        <w:tc>
          <w:tcPr>
            <w:tcW w:w="3040" w:type="dxa"/>
            <w:vAlign w:val="center"/>
          </w:tcPr>
          <w:p w14:paraId="3433F339" w14:textId="77777777" w:rsidR="007D0C8C" w:rsidRPr="00B25B83" w:rsidRDefault="007D0C8C" w:rsidP="002312C0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Протоколы связи</w:t>
            </w:r>
          </w:p>
        </w:tc>
        <w:tc>
          <w:tcPr>
            <w:tcW w:w="6565" w:type="dxa"/>
            <w:vAlign w:val="center"/>
          </w:tcPr>
          <w:p w14:paraId="48068FE6" w14:textId="77777777" w:rsidR="007D0C8C" w:rsidRPr="00B25B83" w:rsidRDefault="007D0C8C" w:rsidP="002312C0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TCP/IP</w:t>
            </w:r>
          </w:p>
        </w:tc>
      </w:tr>
      <w:tr w:rsidR="007D0C8C" w:rsidRPr="00B25B83" w14:paraId="667540D5" w14:textId="77777777" w:rsidTr="00D9395F">
        <w:trPr>
          <w:trHeight w:val="300"/>
          <w:jc w:val="center"/>
        </w:trPr>
        <w:tc>
          <w:tcPr>
            <w:tcW w:w="3040" w:type="dxa"/>
            <w:vAlign w:val="center"/>
          </w:tcPr>
          <w:p w14:paraId="15ACF825" w14:textId="77777777" w:rsidR="007D0C8C" w:rsidRPr="00B25B83" w:rsidRDefault="007D0C8C" w:rsidP="002312C0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Виды соединений</w:t>
            </w:r>
          </w:p>
        </w:tc>
        <w:tc>
          <w:tcPr>
            <w:tcW w:w="6565" w:type="dxa"/>
            <w:vAlign w:val="center"/>
          </w:tcPr>
          <w:p w14:paraId="27B85A84" w14:textId="77777777" w:rsidR="007D0C8C" w:rsidRPr="00B25B83" w:rsidRDefault="007D0C8C" w:rsidP="002312C0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ISDN, выделенные линии разных видов и стандартов, коммутируемые линии</w:t>
            </w:r>
          </w:p>
        </w:tc>
      </w:tr>
      <w:tr w:rsidR="007D0C8C" w:rsidRPr="00B25B83" w14:paraId="51D43344" w14:textId="77777777" w:rsidTr="00D9395F">
        <w:trPr>
          <w:trHeight w:val="300"/>
          <w:jc w:val="center"/>
        </w:trPr>
        <w:tc>
          <w:tcPr>
            <w:tcW w:w="3040" w:type="dxa"/>
            <w:vAlign w:val="center"/>
          </w:tcPr>
          <w:p w14:paraId="3B452523" w14:textId="77777777" w:rsidR="007D0C8C" w:rsidRPr="00B25B83" w:rsidRDefault="007D0C8C" w:rsidP="002312C0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Каналы передачи данных</w:t>
            </w:r>
          </w:p>
        </w:tc>
        <w:tc>
          <w:tcPr>
            <w:tcW w:w="6565" w:type="dxa"/>
            <w:vAlign w:val="center"/>
          </w:tcPr>
          <w:p w14:paraId="66AE8FEC" w14:textId="77777777" w:rsidR="007D0C8C" w:rsidRPr="00B25B83" w:rsidRDefault="007D0C8C" w:rsidP="002312C0">
            <w:pPr>
              <w:ind w:firstLine="0"/>
              <w:rPr>
                <w:snapToGrid w:val="0"/>
              </w:rPr>
            </w:pPr>
            <w:r w:rsidRPr="00B25B83">
              <w:rPr>
                <w:snapToGrid w:val="0"/>
              </w:rPr>
              <w:t>сеть Интернет</w:t>
            </w:r>
          </w:p>
        </w:tc>
      </w:tr>
    </w:tbl>
    <w:p w14:paraId="54BF8C12" w14:textId="77777777" w:rsidR="007D0C8C" w:rsidRPr="00B25B83" w:rsidRDefault="007D0C8C" w:rsidP="002312C0">
      <w:pPr>
        <w:pStyle w:val="1"/>
        <w:tabs>
          <w:tab w:val="num" w:pos="1560"/>
        </w:tabs>
        <w:rPr>
          <w:sz w:val="24"/>
          <w:szCs w:val="24"/>
        </w:rPr>
      </w:pPr>
      <w:bookmarkStart w:id="93" w:name="_Toc220747441"/>
      <w:bookmarkStart w:id="94" w:name="_Toc220747693"/>
      <w:bookmarkStart w:id="95" w:name="_Toc220749575"/>
      <w:bookmarkStart w:id="96" w:name="_Ref214446560"/>
      <w:bookmarkStart w:id="97" w:name="_Toc220484657"/>
      <w:bookmarkStart w:id="98" w:name="_Toc153806392"/>
      <w:bookmarkEnd w:id="93"/>
      <w:bookmarkEnd w:id="94"/>
      <w:bookmarkEnd w:id="95"/>
      <w:r w:rsidRPr="00B25B83">
        <w:rPr>
          <w:sz w:val="24"/>
          <w:szCs w:val="24"/>
        </w:rPr>
        <w:t>Заключительные положения</w:t>
      </w:r>
      <w:bookmarkEnd w:id="96"/>
      <w:bookmarkEnd w:id="97"/>
      <w:bookmarkEnd w:id="98"/>
    </w:p>
    <w:p w14:paraId="2A523FFE" w14:textId="21405746" w:rsidR="007D0C8C" w:rsidRPr="00C7680B" w:rsidRDefault="007D0C8C" w:rsidP="00B25B83">
      <w:pPr>
        <w:tabs>
          <w:tab w:val="left" w:pos="1134"/>
        </w:tabs>
        <w:spacing w:line="260" w:lineRule="auto"/>
        <w:ind w:firstLine="0"/>
      </w:pPr>
      <w:r w:rsidRPr="00B25B83">
        <w:t xml:space="preserve">В случае изменений законодательных и иных нормативных актов Российской Федерации настоящий </w:t>
      </w:r>
      <w:r w:rsidRPr="00B25B83">
        <w:rPr>
          <w:iCs/>
        </w:rPr>
        <w:t>документ</w:t>
      </w:r>
      <w:r w:rsidRPr="00B25B83">
        <w:t>, а также изменения к нему</w:t>
      </w:r>
      <w:r w:rsidRPr="00B25B83">
        <w:rPr>
          <w:i/>
        </w:rPr>
        <w:t xml:space="preserve">, </w:t>
      </w:r>
      <w:r w:rsidRPr="00B25B83">
        <w:t>применяются в части</w:t>
      </w:r>
      <w:r w:rsidR="00E55136" w:rsidRPr="00B25B83">
        <w:t>,</w:t>
      </w:r>
      <w:r w:rsidRPr="00B25B83">
        <w:t xml:space="preserve"> не противоречащей вновь принятым законодательным и иным нормативным актам.</w:t>
      </w:r>
    </w:p>
    <w:sectPr w:rsidR="007D0C8C" w:rsidRPr="00C7680B" w:rsidSect="00997321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5D59" w14:textId="77777777" w:rsidR="00DE028A" w:rsidRDefault="00DE028A">
      <w:r>
        <w:separator/>
      </w:r>
    </w:p>
  </w:endnote>
  <w:endnote w:type="continuationSeparator" w:id="0">
    <w:p w14:paraId="00B576F9" w14:textId="77777777" w:rsidR="00DE028A" w:rsidRDefault="00D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239F" w14:textId="77777777" w:rsidR="004C4B59" w:rsidRDefault="004C4B59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81A7ADA" w14:textId="77777777" w:rsidR="004C4B59" w:rsidRDefault="004C4B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1550" w14:textId="5CA9FFF2" w:rsidR="004C4B59" w:rsidRDefault="00053968" w:rsidP="004A799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964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52C0" w14:textId="77777777" w:rsidR="00DE028A" w:rsidRDefault="00DE028A">
      <w:r>
        <w:separator/>
      </w:r>
    </w:p>
  </w:footnote>
  <w:footnote w:type="continuationSeparator" w:id="0">
    <w:p w14:paraId="2E32D8F3" w14:textId="77777777" w:rsidR="00DE028A" w:rsidRDefault="00DE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73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935"/>
      <w:gridCol w:w="5419"/>
      <w:gridCol w:w="5419"/>
    </w:tblGrid>
    <w:tr w:rsidR="00C0101E" w:rsidRPr="00F72156" w14:paraId="51F7ECED" w14:textId="77777777" w:rsidTr="00954E3D">
      <w:tc>
        <w:tcPr>
          <w:tcW w:w="3935" w:type="dxa"/>
          <w:tcBorders>
            <w:bottom w:val="single" w:sz="4" w:space="0" w:color="auto"/>
          </w:tcBorders>
        </w:tcPr>
        <w:p w14:paraId="231F23CC" w14:textId="611D0877" w:rsidR="00C0101E" w:rsidRPr="00053968" w:rsidRDefault="00C0101E" w:rsidP="00C0101E">
          <w:pPr>
            <w:widowControl/>
            <w:autoSpaceDE/>
            <w:autoSpaceDN/>
            <w:spacing w:before="60"/>
            <w:ind w:right="-6" w:firstLine="0"/>
            <w:jc w:val="left"/>
          </w:pPr>
        </w:p>
      </w:tc>
      <w:tc>
        <w:tcPr>
          <w:tcW w:w="5419" w:type="dxa"/>
          <w:tcBorders>
            <w:bottom w:val="single" w:sz="4" w:space="0" w:color="auto"/>
          </w:tcBorders>
          <w:vAlign w:val="center"/>
        </w:tcPr>
        <w:p w14:paraId="50861176" w14:textId="05924AF2" w:rsidR="00C0101E" w:rsidRPr="00B25B83" w:rsidRDefault="00C0101E" w:rsidP="00C0101E">
          <w:pPr>
            <w:keepNext/>
            <w:widowControl/>
            <w:autoSpaceDE/>
            <w:autoSpaceDN/>
            <w:ind w:left="884" w:firstLine="0"/>
            <w:jc w:val="right"/>
            <w:outlineLvl w:val="1"/>
            <w:rPr>
              <w:bCs/>
              <w:i/>
              <w:iCs/>
              <w:kern w:val="0"/>
              <w:sz w:val="20"/>
              <w:szCs w:val="20"/>
            </w:rPr>
          </w:pPr>
          <w:r w:rsidRPr="00B25B83">
            <w:rPr>
              <w:bCs/>
              <w:i/>
              <w:iCs/>
              <w:kern w:val="0"/>
              <w:sz w:val="20"/>
              <w:szCs w:val="20"/>
            </w:rPr>
            <w:t>Приложение №</w:t>
          </w:r>
          <w:r w:rsidR="00D26992">
            <w:rPr>
              <w:bCs/>
              <w:i/>
              <w:iCs/>
              <w:kern w:val="0"/>
              <w:sz w:val="20"/>
              <w:szCs w:val="20"/>
            </w:rPr>
            <w:t>14</w:t>
          </w:r>
        </w:p>
        <w:p w14:paraId="5AB06008" w14:textId="77777777" w:rsidR="00B25B83" w:rsidRDefault="00C0101E" w:rsidP="00C0101E">
          <w:pPr>
            <w:widowControl/>
            <w:autoSpaceDE/>
            <w:autoSpaceDN/>
            <w:ind w:firstLine="0"/>
            <w:jc w:val="right"/>
            <w:rPr>
              <w:bCs/>
              <w:i/>
              <w:iCs/>
              <w:kern w:val="0"/>
              <w:sz w:val="20"/>
              <w:szCs w:val="20"/>
            </w:rPr>
          </w:pPr>
          <w:r w:rsidRPr="004A799D">
            <w:rPr>
              <w:bCs/>
              <w:i/>
              <w:iCs/>
              <w:kern w:val="0"/>
              <w:sz w:val="20"/>
              <w:szCs w:val="20"/>
            </w:rPr>
            <w:t xml:space="preserve">к </w:t>
          </w:r>
          <w:r>
            <w:rPr>
              <w:bCs/>
              <w:i/>
              <w:iCs/>
              <w:kern w:val="0"/>
              <w:sz w:val="20"/>
              <w:szCs w:val="20"/>
            </w:rPr>
            <w:t>«</w:t>
          </w:r>
          <w:r w:rsidRPr="004A799D">
            <w:rPr>
              <w:bCs/>
              <w:i/>
              <w:iCs/>
              <w:kern w:val="0"/>
              <w:sz w:val="20"/>
              <w:szCs w:val="20"/>
            </w:rPr>
            <w:t xml:space="preserve">Регламенту оказания </w:t>
          </w:r>
          <w:r>
            <w:rPr>
              <w:bCs/>
              <w:i/>
              <w:iCs/>
              <w:kern w:val="0"/>
              <w:sz w:val="20"/>
              <w:szCs w:val="20"/>
            </w:rPr>
            <w:t>ОО</w:t>
          </w:r>
          <w:r w:rsidRPr="004A799D">
            <w:rPr>
              <w:bCs/>
              <w:i/>
              <w:iCs/>
              <w:kern w:val="0"/>
              <w:sz w:val="20"/>
              <w:szCs w:val="20"/>
            </w:rPr>
            <w:t xml:space="preserve">О </w:t>
          </w:r>
          <w:r>
            <w:rPr>
              <w:bCs/>
              <w:i/>
              <w:iCs/>
              <w:kern w:val="0"/>
              <w:sz w:val="20"/>
              <w:szCs w:val="20"/>
            </w:rPr>
            <w:t xml:space="preserve">КБ </w:t>
          </w:r>
          <w:r w:rsidRPr="004A799D">
            <w:rPr>
              <w:bCs/>
              <w:i/>
              <w:iCs/>
              <w:kern w:val="0"/>
              <w:sz w:val="20"/>
              <w:szCs w:val="20"/>
            </w:rPr>
            <w:t>«</w:t>
          </w:r>
          <w:r>
            <w:rPr>
              <w:bCs/>
              <w:i/>
              <w:iCs/>
              <w:kern w:val="0"/>
              <w:sz w:val="20"/>
              <w:szCs w:val="20"/>
            </w:rPr>
            <w:t>ГТ банк</w:t>
          </w:r>
          <w:r w:rsidRPr="004A799D">
            <w:rPr>
              <w:bCs/>
              <w:i/>
              <w:iCs/>
              <w:kern w:val="0"/>
              <w:sz w:val="20"/>
              <w:szCs w:val="20"/>
            </w:rPr>
            <w:t>»</w:t>
          </w:r>
        </w:p>
        <w:p w14:paraId="61F414AB" w14:textId="4DD612C6" w:rsidR="00C0101E" w:rsidRPr="00B25B83" w:rsidRDefault="00C0101E" w:rsidP="00C0101E">
          <w:pPr>
            <w:widowControl/>
            <w:autoSpaceDE/>
            <w:autoSpaceDN/>
            <w:ind w:firstLine="0"/>
            <w:jc w:val="right"/>
            <w:rPr>
              <w:bCs/>
              <w:i/>
              <w:iCs/>
              <w:kern w:val="0"/>
              <w:sz w:val="20"/>
              <w:szCs w:val="20"/>
            </w:rPr>
          </w:pPr>
          <w:r w:rsidRPr="004A799D">
            <w:rPr>
              <w:bCs/>
              <w:i/>
              <w:iCs/>
              <w:kern w:val="0"/>
              <w:sz w:val="20"/>
              <w:szCs w:val="20"/>
            </w:rPr>
            <w:t xml:space="preserve"> услуг на финансовых рынках</w:t>
          </w:r>
          <w:r>
            <w:rPr>
              <w:bCs/>
              <w:i/>
              <w:iCs/>
              <w:kern w:val="0"/>
              <w:sz w:val="20"/>
              <w:szCs w:val="20"/>
            </w:rPr>
            <w:t>»</w:t>
          </w:r>
        </w:p>
      </w:tc>
      <w:tc>
        <w:tcPr>
          <w:tcW w:w="5419" w:type="dxa"/>
          <w:tcBorders>
            <w:bottom w:val="single" w:sz="4" w:space="0" w:color="auto"/>
          </w:tcBorders>
        </w:tcPr>
        <w:p w14:paraId="7CAD037A" w14:textId="2CD77D71" w:rsidR="00C0101E" w:rsidRDefault="00C0101E" w:rsidP="00C0101E">
          <w:pPr>
            <w:widowControl/>
            <w:autoSpaceDE/>
            <w:autoSpaceDN/>
            <w:ind w:firstLine="0"/>
            <w:jc w:val="right"/>
          </w:pPr>
        </w:p>
        <w:p w14:paraId="146B4C45" w14:textId="77777777" w:rsidR="00C0101E" w:rsidRPr="00053968" w:rsidRDefault="00C0101E" w:rsidP="00C0101E">
          <w:pPr>
            <w:widowControl/>
            <w:autoSpaceDE/>
            <w:autoSpaceDN/>
            <w:ind w:firstLine="0"/>
            <w:jc w:val="right"/>
          </w:pPr>
          <w:r w:rsidRPr="00053968">
            <w:t>Приложение №20</w:t>
          </w:r>
        </w:p>
        <w:p w14:paraId="7359AABC" w14:textId="77777777" w:rsidR="00C0101E" w:rsidRPr="004A799D" w:rsidRDefault="00C0101E" w:rsidP="00C0101E">
          <w:pPr>
            <w:widowControl/>
            <w:autoSpaceDE/>
            <w:autoSpaceDN/>
            <w:ind w:left="1701" w:firstLine="0"/>
            <w:jc w:val="right"/>
            <w:rPr>
              <w:i/>
              <w:sz w:val="20"/>
              <w:szCs w:val="20"/>
            </w:rPr>
          </w:pPr>
          <w:r w:rsidRPr="004A799D">
            <w:rPr>
              <w:i/>
              <w:sz w:val="20"/>
              <w:szCs w:val="20"/>
            </w:rPr>
            <w:t>к «Регламенту оказания ПАО Банком «ФК Открытие» услуг на финансовых рынках». Версия 4.</w:t>
          </w:r>
        </w:p>
      </w:tc>
    </w:tr>
  </w:tbl>
  <w:p w14:paraId="2F49190A" w14:textId="77777777" w:rsidR="004C4B59" w:rsidRPr="004A799D" w:rsidRDefault="004C4B59" w:rsidP="004A799D">
    <w:pPr>
      <w:pStyle w:val="a6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7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71"/>
      <w:gridCol w:w="5352"/>
    </w:tblGrid>
    <w:tr w:rsidR="004C4B59" w:rsidRPr="001420B6" w14:paraId="48A1E267" w14:textId="77777777" w:rsidTr="00404849">
      <w:trPr>
        <w:cantSplit/>
        <w:trHeight w:val="1270"/>
      </w:trPr>
      <w:tc>
        <w:tcPr>
          <w:tcW w:w="4571" w:type="dxa"/>
        </w:tcPr>
        <w:p w14:paraId="2D344318" w14:textId="6AC1BEA3" w:rsidR="004C4B59" w:rsidRPr="004A799D" w:rsidRDefault="004C4B59" w:rsidP="00D6751A">
          <w:pPr>
            <w:widowControl/>
            <w:autoSpaceDE/>
            <w:autoSpaceDN/>
            <w:spacing w:before="60"/>
            <w:ind w:right="-6" w:firstLine="0"/>
            <w:jc w:val="left"/>
            <w:rPr>
              <w:kern w:val="0"/>
              <w:szCs w:val="20"/>
            </w:rPr>
          </w:pPr>
        </w:p>
      </w:tc>
      <w:tc>
        <w:tcPr>
          <w:tcW w:w="5352" w:type="dxa"/>
          <w:vAlign w:val="center"/>
        </w:tcPr>
        <w:p w14:paraId="48FEAEA9" w14:textId="626C30F3" w:rsidR="004C4B59" w:rsidRPr="00B25B83" w:rsidRDefault="004C4B59" w:rsidP="000B759C">
          <w:pPr>
            <w:keepNext/>
            <w:widowControl/>
            <w:autoSpaceDE/>
            <w:autoSpaceDN/>
            <w:ind w:left="884" w:firstLine="0"/>
            <w:jc w:val="right"/>
            <w:outlineLvl w:val="1"/>
            <w:rPr>
              <w:bCs/>
              <w:i/>
              <w:iCs/>
              <w:kern w:val="0"/>
              <w:sz w:val="20"/>
              <w:szCs w:val="20"/>
            </w:rPr>
          </w:pPr>
          <w:r w:rsidRPr="00B25B83">
            <w:rPr>
              <w:bCs/>
              <w:i/>
              <w:iCs/>
              <w:kern w:val="0"/>
              <w:sz w:val="20"/>
              <w:szCs w:val="20"/>
            </w:rPr>
            <w:t>Приложение №</w:t>
          </w:r>
          <w:r w:rsidR="00D26992">
            <w:rPr>
              <w:bCs/>
              <w:i/>
              <w:iCs/>
              <w:kern w:val="0"/>
              <w:sz w:val="20"/>
              <w:szCs w:val="20"/>
            </w:rPr>
            <w:t>14</w:t>
          </w:r>
        </w:p>
        <w:p w14:paraId="6D7F530C" w14:textId="0FB37778" w:rsidR="00C0101E" w:rsidRPr="004A799D" w:rsidRDefault="004C4B59" w:rsidP="00C0101E">
          <w:pPr>
            <w:keepNext/>
            <w:widowControl/>
            <w:autoSpaceDE/>
            <w:autoSpaceDN/>
            <w:ind w:left="884" w:firstLine="0"/>
            <w:jc w:val="right"/>
            <w:outlineLvl w:val="1"/>
            <w:rPr>
              <w:bCs/>
              <w:i/>
              <w:iCs/>
              <w:kern w:val="0"/>
              <w:sz w:val="20"/>
              <w:szCs w:val="20"/>
            </w:rPr>
          </w:pPr>
          <w:r w:rsidRPr="004A799D">
            <w:rPr>
              <w:bCs/>
              <w:i/>
              <w:iCs/>
              <w:kern w:val="0"/>
              <w:sz w:val="20"/>
              <w:szCs w:val="20"/>
            </w:rPr>
            <w:t xml:space="preserve">к </w:t>
          </w:r>
          <w:r w:rsidR="00053968">
            <w:rPr>
              <w:bCs/>
              <w:i/>
              <w:iCs/>
              <w:kern w:val="0"/>
              <w:sz w:val="20"/>
              <w:szCs w:val="20"/>
            </w:rPr>
            <w:t>«</w:t>
          </w:r>
          <w:r w:rsidRPr="004A799D">
            <w:rPr>
              <w:bCs/>
              <w:i/>
              <w:iCs/>
              <w:kern w:val="0"/>
              <w:sz w:val="20"/>
              <w:szCs w:val="20"/>
            </w:rPr>
            <w:t xml:space="preserve">Регламенту оказания </w:t>
          </w:r>
          <w:r w:rsidR="00750A32">
            <w:rPr>
              <w:bCs/>
              <w:i/>
              <w:iCs/>
              <w:kern w:val="0"/>
              <w:sz w:val="20"/>
              <w:szCs w:val="20"/>
            </w:rPr>
            <w:t>ОО</w:t>
          </w:r>
          <w:r w:rsidRPr="004A799D">
            <w:rPr>
              <w:bCs/>
              <w:i/>
              <w:iCs/>
              <w:kern w:val="0"/>
              <w:sz w:val="20"/>
              <w:szCs w:val="20"/>
            </w:rPr>
            <w:t xml:space="preserve">О </w:t>
          </w:r>
          <w:r w:rsidR="00750A32">
            <w:rPr>
              <w:bCs/>
              <w:i/>
              <w:iCs/>
              <w:kern w:val="0"/>
              <w:sz w:val="20"/>
              <w:szCs w:val="20"/>
            </w:rPr>
            <w:t xml:space="preserve">КБ </w:t>
          </w:r>
          <w:r w:rsidRPr="004A799D">
            <w:rPr>
              <w:bCs/>
              <w:i/>
              <w:iCs/>
              <w:kern w:val="0"/>
              <w:sz w:val="20"/>
              <w:szCs w:val="20"/>
            </w:rPr>
            <w:t>«</w:t>
          </w:r>
          <w:r w:rsidR="00750A32">
            <w:rPr>
              <w:bCs/>
              <w:i/>
              <w:iCs/>
              <w:kern w:val="0"/>
              <w:sz w:val="20"/>
              <w:szCs w:val="20"/>
            </w:rPr>
            <w:t>ГТ банк</w:t>
          </w:r>
          <w:r w:rsidRPr="004A799D">
            <w:rPr>
              <w:bCs/>
              <w:i/>
              <w:iCs/>
              <w:kern w:val="0"/>
              <w:sz w:val="20"/>
              <w:szCs w:val="20"/>
            </w:rPr>
            <w:t>» услуг на финансовых рынках</w:t>
          </w:r>
          <w:r w:rsidR="00C0101E">
            <w:rPr>
              <w:bCs/>
              <w:i/>
              <w:iCs/>
              <w:kern w:val="0"/>
              <w:sz w:val="20"/>
              <w:szCs w:val="20"/>
            </w:rPr>
            <w:t>»</w:t>
          </w:r>
        </w:p>
      </w:tc>
    </w:tr>
  </w:tbl>
  <w:p w14:paraId="05776AC1" w14:textId="77777777" w:rsidR="004C4B59" w:rsidRPr="004A799D" w:rsidRDefault="004C4B59" w:rsidP="004A79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BAB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B"/>
    <w:multiLevelType w:val="multilevel"/>
    <w:tmpl w:val="643CD68C"/>
    <w:lvl w:ilvl="0">
      <w:start w:val="1"/>
      <w:numFmt w:val="decimal"/>
      <w:pStyle w:val="1"/>
      <w:lvlText w:val="%1."/>
      <w:lvlJc w:val="left"/>
      <w:pPr>
        <w:tabs>
          <w:tab w:val="num" w:pos="900"/>
        </w:tabs>
        <w:ind w:left="54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6"/>
        </w:tabs>
        <w:ind w:left="426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57"/>
        </w:tabs>
        <w:ind w:left="1277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620"/>
        </w:tabs>
        <w:ind w:left="54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980"/>
        </w:tabs>
        <w:ind w:left="54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540"/>
        </w:tabs>
        <w:ind w:left="540" w:firstLine="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89E826E"/>
    <w:lvl w:ilvl="0">
      <w:numFmt w:val="decimal"/>
      <w:pStyle w:val="1-"/>
      <w:lvlText w:val="*"/>
      <w:lvlJc w:val="left"/>
    </w:lvl>
  </w:abstractNum>
  <w:abstractNum w:abstractNumId="3" w15:restartNumberingAfterBreak="0">
    <w:nsid w:val="0D801FFE"/>
    <w:multiLevelType w:val="hybridMultilevel"/>
    <w:tmpl w:val="A3BE4EA0"/>
    <w:lvl w:ilvl="0" w:tplc="A02424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5E1"/>
    <w:multiLevelType w:val="hybridMultilevel"/>
    <w:tmpl w:val="908E3C58"/>
    <w:lvl w:ilvl="0" w:tplc="3CCCD0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47E7F"/>
    <w:multiLevelType w:val="multilevel"/>
    <w:tmpl w:val="4F586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F1F388C"/>
    <w:multiLevelType w:val="multilevel"/>
    <w:tmpl w:val="03701C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63934D3"/>
    <w:multiLevelType w:val="hybridMultilevel"/>
    <w:tmpl w:val="9578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07DD"/>
    <w:multiLevelType w:val="hybridMultilevel"/>
    <w:tmpl w:val="CF242094"/>
    <w:lvl w:ilvl="0" w:tplc="3CCCD0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2033"/>
    <w:multiLevelType w:val="hybridMultilevel"/>
    <w:tmpl w:val="0C0EC59A"/>
    <w:lvl w:ilvl="0" w:tplc="D2361CB0">
      <w:start w:val="1"/>
      <w:numFmt w:val="bullet"/>
      <w:pStyle w:val="2-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E51C34"/>
    <w:multiLevelType w:val="multilevel"/>
    <w:tmpl w:val="29A27A74"/>
    <w:lvl w:ilvl="0">
      <w:start w:val="1"/>
      <w:numFmt w:val="decimal"/>
      <w:pStyle w:val="10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564"/>
        </w:tabs>
        <w:ind w:left="156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1" w15:restartNumberingAfterBreak="0">
    <w:nsid w:val="6DBC201B"/>
    <w:multiLevelType w:val="multilevel"/>
    <w:tmpl w:val="509621C4"/>
    <w:lvl w:ilvl="0">
      <w:start w:val="1"/>
      <w:numFmt w:val="decimal"/>
      <w:lvlText w:val="%1.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-0"/>
      <w:lvlText w:val="%1.%2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5">
      <w:start w:val="1"/>
      <w:numFmt w:val="decimal"/>
      <w:lvlText w:val="Статья.%6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num w:numId="1" w16cid:durableId="122771073">
    <w:abstractNumId w:val="1"/>
  </w:num>
  <w:num w:numId="2" w16cid:durableId="1703284973">
    <w:abstractNumId w:val="2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 w16cid:durableId="132993353">
    <w:abstractNumId w:val="9"/>
  </w:num>
  <w:num w:numId="4" w16cid:durableId="205214977">
    <w:abstractNumId w:val="11"/>
  </w:num>
  <w:num w:numId="5" w16cid:durableId="334771677">
    <w:abstractNumId w:val="0"/>
  </w:num>
  <w:num w:numId="6" w16cid:durableId="731730470">
    <w:abstractNumId w:val="5"/>
  </w:num>
  <w:num w:numId="7" w16cid:durableId="95250734">
    <w:abstractNumId w:val="1"/>
  </w:num>
  <w:num w:numId="8" w16cid:durableId="1660696511">
    <w:abstractNumId w:val="1"/>
  </w:num>
  <w:num w:numId="9" w16cid:durableId="288510172">
    <w:abstractNumId w:val="10"/>
  </w:num>
  <w:num w:numId="10" w16cid:durableId="131680136">
    <w:abstractNumId w:val="7"/>
  </w:num>
  <w:num w:numId="11" w16cid:durableId="1536192083">
    <w:abstractNumId w:val="3"/>
  </w:num>
  <w:num w:numId="12" w16cid:durableId="902058562">
    <w:abstractNumId w:val="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21790">
    <w:abstractNumId w:val="4"/>
  </w:num>
  <w:num w:numId="14" w16cid:durableId="1130897165">
    <w:abstractNumId w:val="8"/>
  </w:num>
  <w:num w:numId="15" w16cid:durableId="1488932834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AD"/>
    <w:rsid w:val="00002824"/>
    <w:rsid w:val="00012285"/>
    <w:rsid w:val="00014AEC"/>
    <w:rsid w:val="00017508"/>
    <w:rsid w:val="0001792F"/>
    <w:rsid w:val="00020FEF"/>
    <w:rsid w:val="00037370"/>
    <w:rsid w:val="0004240E"/>
    <w:rsid w:val="00046CD4"/>
    <w:rsid w:val="00050EE2"/>
    <w:rsid w:val="00053968"/>
    <w:rsid w:val="000551E5"/>
    <w:rsid w:val="000568F8"/>
    <w:rsid w:val="00057B50"/>
    <w:rsid w:val="00060B1B"/>
    <w:rsid w:val="00061C2A"/>
    <w:rsid w:val="0006498E"/>
    <w:rsid w:val="000649B0"/>
    <w:rsid w:val="00065123"/>
    <w:rsid w:val="00066A09"/>
    <w:rsid w:val="00076CE4"/>
    <w:rsid w:val="00081256"/>
    <w:rsid w:val="00082767"/>
    <w:rsid w:val="00083559"/>
    <w:rsid w:val="000849C0"/>
    <w:rsid w:val="00085FC6"/>
    <w:rsid w:val="00087D95"/>
    <w:rsid w:val="000900A6"/>
    <w:rsid w:val="000924B0"/>
    <w:rsid w:val="00094E2E"/>
    <w:rsid w:val="000964CD"/>
    <w:rsid w:val="000A09A6"/>
    <w:rsid w:val="000A2A1F"/>
    <w:rsid w:val="000A2A2B"/>
    <w:rsid w:val="000A6292"/>
    <w:rsid w:val="000B06DC"/>
    <w:rsid w:val="000B669C"/>
    <w:rsid w:val="000B759C"/>
    <w:rsid w:val="000B76A3"/>
    <w:rsid w:val="000C0187"/>
    <w:rsid w:val="000C0596"/>
    <w:rsid w:val="000C16A3"/>
    <w:rsid w:val="000C1DAD"/>
    <w:rsid w:val="000C1FD7"/>
    <w:rsid w:val="000C5BC9"/>
    <w:rsid w:val="000D0BE8"/>
    <w:rsid w:val="000D56CA"/>
    <w:rsid w:val="000D580F"/>
    <w:rsid w:val="000D62CD"/>
    <w:rsid w:val="000E164A"/>
    <w:rsid w:val="000E403F"/>
    <w:rsid w:val="000E60CA"/>
    <w:rsid w:val="000E67DA"/>
    <w:rsid w:val="000E7AD5"/>
    <w:rsid w:val="000F0F82"/>
    <w:rsid w:val="000F1085"/>
    <w:rsid w:val="000F16F6"/>
    <w:rsid w:val="000F1A31"/>
    <w:rsid w:val="000F2AF9"/>
    <w:rsid w:val="000F3A86"/>
    <w:rsid w:val="000F455B"/>
    <w:rsid w:val="000F4BFF"/>
    <w:rsid w:val="000F7270"/>
    <w:rsid w:val="00100CC8"/>
    <w:rsid w:val="00101564"/>
    <w:rsid w:val="001020B4"/>
    <w:rsid w:val="00103410"/>
    <w:rsid w:val="00103B39"/>
    <w:rsid w:val="001110AA"/>
    <w:rsid w:val="001115DE"/>
    <w:rsid w:val="00116F13"/>
    <w:rsid w:val="0011781B"/>
    <w:rsid w:val="00120D60"/>
    <w:rsid w:val="001210C2"/>
    <w:rsid w:val="001222E0"/>
    <w:rsid w:val="00122AED"/>
    <w:rsid w:val="00124C9B"/>
    <w:rsid w:val="001303AC"/>
    <w:rsid w:val="00135F91"/>
    <w:rsid w:val="001360D3"/>
    <w:rsid w:val="00140796"/>
    <w:rsid w:val="0014146D"/>
    <w:rsid w:val="001420B6"/>
    <w:rsid w:val="00142A47"/>
    <w:rsid w:val="001437E5"/>
    <w:rsid w:val="00143E88"/>
    <w:rsid w:val="00143F4B"/>
    <w:rsid w:val="0014547B"/>
    <w:rsid w:val="0014555A"/>
    <w:rsid w:val="00146B69"/>
    <w:rsid w:val="00146D80"/>
    <w:rsid w:val="00151D82"/>
    <w:rsid w:val="001532DC"/>
    <w:rsid w:val="00153375"/>
    <w:rsid w:val="00153D13"/>
    <w:rsid w:val="00156351"/>
    <w:rsid w:val="00156476"/>
    <w:rsid w:val="0015656F"/>
    <w:rsid w:val="00160975"/>
    <w:rsid w:val="00161890"/>
    <w:rsid w:val="00164D9E"/>
    <w:rsid w:val="00167C49"/>
    <w:rsid w:val="00167F72"/>
    <w:rsid w:val="00174554"/>
    <w:rsid w:val="00176046"/>
    <w:rsid w:val="00177517"/>
    <w:rsid w:val="00182EF5"/>
    <w:rsid w:val="001906C7"/>
    <w:rsid w:val="00195668"/>
    <w:rsid w:val="00195F2A"/>
    <w:rsid w:val="001A0899"/>
    <w:rsid w:val="001A523C"/>
    <w:rsid w:val="001A75D6"/>
    <w:rsid w:val="001A799B"/>
    <w:rsid w:val="001B2546"/>
    <w:rsid w:val="001B751B"/>
    <w:rsid w:val="001B7B26"/>
    <w:rsid w:val="001C0D0A"/>
    <w:rsid w:val="001C1518"/>
    <w:rsid w:val="001C3370"/>
    <w:rsid w:val="001C4E4B"/>
    <w:rsid w:val="001C5AA3"/>
    <w:rsid w:val="001C5BF4"/>
    <w:rsid w:val="001D5679"/>
    <w:rsid w:val="001E2120"/>
    <w:rsid w:val="001E549B"/>
    <w:rsid w:val="001F1973"/>
    <w:rsid w:val="001F3E3C"/>
    <w:rsid w:val="002023E4"/>
    <w:rsid w:val="0020326A"/>
    <w:rsid w:val="00203656"/>
    <w:rsid w:val="00206EFC"/>
    <w:rsid w:val="002168B6"/>
    <w:rsid w:val="00222AA1"/>
    <w:rsid w:val="002232DF"/>
    <w:rsid w:val="00230AE8"/>
    <w:rsid w:val="002312C0"/>
    <w:rsid w:val="00232510"/>
    <w:rsid w:val="00235DF8"/>
    <w:rsid w:val="00241C88"/>
    <w:rsid w:val="002423D1"/>
    <w:rsid w:val="002502FA"/>
    <w:rsid w:val="00250D69"/>
    <w:rsid w:val="00251415"/>
    <w:rsid w:val="002515F3"/>
    <w:rsid w:val="00251D3A"/>
    <w:rsid w:val="00254BF7"/>
    <w:rsid w:val="00270285"/>
    <w:rsid w:val="00270C8D"/>
    <w:rsid w:val="0027107C"/>
    <w:rsid w:val="002727C0"/>
    <w:rsid w:val="00275CB4"/>
    <w:rsid w:val="00285737"/>
    <w:rsid w:val="00285C2A"/>
    <w:rsid w:val="00285C7F"/>
    <w:rsid w:val="002860FE"/>
    <w:rsid w:val="00286362"/>
    <w:rsid w:val="00286A28"/>
    <w:rsid w:val="00290D62"/>
    <w:rsid w:val="00291212"/>
    <w:rsid w:val="00291731"/>
    <w:rsid w:val="00292F73"/>
    <w:rsid w:val="002940B1"/>
    <w:rsid w:val="002942D8"/>
    <w:rsid w:val="00296C1B"/>
    <w:rsid w:val="002A1AE8"/>
    <w:rsid w:val="002A2F43"/>
    <w:rsid w:val="002A35EE"/>
    <w:rsid w:val="002A5EED"/>
    <w:rsid w:val="002A667A"/>
    <w:rsid w:val="002A6A94"/>
    <w:rsid w:val="002A79E4"/>
    <w:rsid w:val="002B055B"/>
    <w:rsid w:val="002B1181"/>
    <w:rsid w:val="002B144A"/>
    <w:rsid w:val="002B177A"/>
    <w:rsid w:val="002B2D01"/>
    <w:rsid w:val="002B65A7"/>
    <w:rsid w:val="002C1F6F"/>
    <w:rsid w:val="002C3413"/>
    <w:rsid w:val="002C4A0F"/>
    <w:rsid w:val="002E023A"/>
    <w:rsid w:val="002E4C63"/>
    <w:rsid w:val="002E66DD"/>
    <w:rsid w:val="002F28F9"/>
    <w:rsid w:val="002F3C2A"/>
    <w:rsid w:val="00301173"/>
    <w:rsid w:val="0030188E"/>
    <w:rsid w:val="00302CBC"/>
    <w:rsid w:val="0030422B"/>
    <w:rsid w:val="00317939"/>
    <w:rsid w:val="003206F6"/>
    <w:rsid w:val="0032175F"/>
    <w:rsid w:val="00322EDB"/>
    <w:rsid w:val="0032361F"/>
    <w:rsid w:val="0032517D"/>
    <w:rsid w:val="003315ED"/>
    <w:rsid w:val="00340987"/>
    <w:rsid w:val="00340BCE"/>
    <w:rsid w:val="003414B7"/>
    <w:rsid w:val="00343519"/>
    <w:rsid w:val="003456E5"/>
    <w:rsid w:val="003514D4"/>
    <w:rsid w:val="00352C31"/>
    <w:rsid w:val="00353F16"/>
    <w:rsid w:val="00355FCE"/>
    <w:rsid w:val="0035721A"/>
    <w:rsid w:val="00357BA6"/>
    <w:rsid w:val="00360324"/>
    <w:rsid w:val="00366621"/>
    <w:rsid w:val="003714B0"/>
    <w:rsid w:val="00375092"/>
    <w:rsid w:val="00375486"/>
    <w:rsid w:val="00375ACF"/>
    <w:rsid w:val="003808AF"/>
    <w:rsid w:val="00381654"/>
    <w:rsid w:val="00385F42"/>
    <w:rsid w:val="00391258"/>
    <w:rsid w:val="00394957"/>
    <w:rsid w:val="0039737D"/>
    <w:rsid w:val="003A1C1E"/>
    <w:rsid w:val="003A2DCB"/>
    <w:rsid w:val="003A64ED"/>
    <w:rsid w:val="003A784C"/>
    <w:rsid w:val="003B335A"/>
    <w:rsid w:val="003B47DF"/>
    <w:rsid w:val="003B5282"/>
    <w:rsid w:val="003C01F6"/>
    <w:rsid w:val="003C08EA"/>
    <w:rsid w:val="003C2E9D"/>
    <w:rsid w:val="003C3B24"/>
    <w:rsid w:val="003C3B28"/>
    <w:rsid w:val="003C499F"/>
    <w:rsid w:val="003C5FEC"/>
    <w:rsid w:val="003C68AF"/>
    <w:rsid w:val="003C70A1"/>
    <w:rsid w:val="003D32B0"/>
    <w:rsid w:val="003D48A4"/>
    <w:rsid w:val="003D4F59"/>
    <w:rsid w:val="003D6E27"/>
    <w:rsid w:val="003E4381"/>
    <w:rsid w:val="003E52D7"/>
    <w:rsid w:val="003E5B51"/>
    <w:rsid w:val="003F092C"/>
    <w:rsid w:val="003F0A57"/>
    <w:rsid w:val="003F305F"/>
    <w:rsid w:val="003F3CE5"/>
    <w:rsid w:val="003F705D"/>
    <w:rsid w:val="00404849"/>
    <w:rsid w:val="0040790C"/>
    <w:rsid w:val="004111F0"/>
    <w:rsid w:val="004127D0"/>
    <w:rsid w:val="00413C23"/>
    <w:rsid w:val="00413E97"/>
    <w:rsid w:val="00415CE8"/>
    <w:rsid w:val="004174DC"/>
    <w:rsid w:val="00420004"/>
    <w:rsid w:val="00421132"/>
    <w:rsid w:val="00423265"/>
    <w:rsid w:val="00423E17"/>
    <w:rsid w:val="00424922"/>
    <w:rsid w:val="00424C54"/>
    <w:rsid w:val="0042589A"/>
    <w:rsid w:val="00430E28"/>
    <w:rsid w:val="00431CD0"/>
    <w:rsid w:val="0043447A"/>
    <w:rsid w:val="0044063C"/>
    <w:rsid w:val="00444866"/>
    <w:rsid w:val="004463B0"/>
    <w:rsid w:val="00446B7B"/>
    <w:rsid w:val="0044787A"/>
    <w:rsid w:val="00453335"/>
    <w:rsid w:val="00453D75"/>
    <w:rsid w:val="00457903"/>
    <w:rsid w:val="004608F3"/>
    <w:rsid w:val="00460D33"/>
    <w:rsid w:val="004630A3"/>
    <w:rsid w:val="004661AE"/>
    <w:rsid w:val="004726DC"/>
    <w:rsid w:val="00473D49"/>
    <w:rsid w:val="004740F9"/>
    <w:rsid w:val="0048581A"/>
    <w:rsid w:val="00485FED"/>
    <w:rsid w:val="004877D0"/>
    <w:rsid w:val="00494297"/>
    <w:rsid w:val="004946EB"/>
    <w:rsid w:val="004955CA"/>
    <w:rsid w:val="004A1995"/>
    <w:rsid w:val="004A37F3"/>
    <w:rsid w:val="004A5483"/>
    <w:rsid w:val="004A69A7"/>
    <w:rsid w:val="004A6C8D"/>
    <w:rsid w:val="004A799D"/>
    <w:rsid w:val="004B1245"/>
    <w:rsid w:val="004B66F8"/>
    <w:rsid w:val="004C0ABA"/>
    <w:rsid w:val="004C1D12"/>
    <w:rsid w:val="004C26A9"/>
    <w:rsid w:val="004C27F2"/>
    <w:rsid w:val="004C2982"/>
    <w:rsid w:val="004C4B59"/>
    <w:rsid w:val="004C4EC1"/>
    <w:rsid w:val="004C64A7"/>
    <w:rsid w:val="004C6D43"/>
    <w:rsid w:val="004C70B9"/>
    <w:rsid w:val="004C719F"/>
    <w:rsid w:val="004D0297"/>
    <w:rsid w:val="004D2B5F"/>
    <w:rsid w:val="004E0D71"/>
    <w:rsid w:val="004E3BEB"/>
    <w:rsid w:val="004E45C5"/>
    <w:rsid w:val="004E642E"/>
    <w:rsid w:val="004E6CB9"/>
    <w:rsid w:val="004F0C37"/>
    <w:rsid w:val="004F21D4"/>
    <w:rsid w:val="004F223F"/>
    <w:rsid w:val="004F4867"/>
    <w:rsid w:val="004F5620"/>
    <w:rsid w:val="004F6916"/>
    <w:rsid w:val="004F6C6E"/>
    <w:rsid w:val="005008AA"/>
    <w:rsid w:val="00500ED6"/>
    <w:rsid w:val="005014AA"/>
    <w:rsid w:val="00501520"/>
    <w:rsid w:val="00501CCB"/>
    <w:rsid w:val="0050286A"/>
    <w:rsid w:val="00503DC9"/>
    <w:rsid w:val="00505845"/>
    <w:rsid w:val="00507217"/>
    <w:rsid w:val="0051219A"/>
    <w:rsid w:val="00513388"/>
    <w:rsid w:val="00514478"/>
    <w:rsid w:val="00515BBF"/>
    <w:rsid w:val="0051682A"/>
    <w:rsid w:val="005243AE"/>
    <w:rsid w:val="00527F88"/>
    <w:rsid w:val="00531998"/>
    <w:rsid w:val="00532E94"/>
    <w:rsid w:val="005361F8"/>
    <w:rsid w:val="00540C60"/>
    <w:rsid w:val="00540F18"/>
    <w:rsid w:val="005432CD"/>
    <w:rsid w:val="00544154"/>
    <w:rsid w:val="00544E58"/>
    <w:rsid w:val="0054589E"/>
    <w:rsid w:val="0055017A"/>
    <w:rsid w:val="00551A9C"/>
    <w:rsid w:val="00551EC1"/>
    <w:rsid w:val="00555215"/>
    <w:rsid w:val="0055712C"/>
    <w:rsid w:val="00560026"/>
    <w:rsid w:val="00560D6E"/>
    <w:rsid w:val="0056167C"/>
    <w:rsid w:val="00561E75"/>
    <w:rsid w:val="00564411"/>
    <w:rsid w:val="005673BC"/>
    <w:rsid w:val="00567AF3"/>
    <w:rsid w:val="005810BF"/>
    <w:rsid w:val="005842B2"/>
    <w:rsid w:val="00591D4A"/>
    <w:rsid w:val="005941ED"/>
    <w:rsid w:val="005957A9"/>
    <w:rsid w:val="00597D24"/>
    <w:rsid w:val="005A5571"/>
    <w:rsid w:val="005B1431"/>
    <w:rsid w:val="005B220A"/>
    <w:rsid w:val="005B4C51"/>
    <w:rsid w:val="005B56CD"/>
    <w:rsid w:val="005B79D1"/>
    <w:rsid w:val="005C13CF"/>
    <w:rsid w:val="005C49FC"/>
    <w:rsid w:val="005D113E"/>
    <w:rsid w:val="005D2F1E"/>
    <w:rsid w:val="005D3E97"/>
    <w:rsid w:val="005E2F83"/>
    <w:rsid w:val="005E564D"/>
    <w:rsid w:val="005E6C06"/>
    <w:rsid w:val="005E758D"/>
    <w:rsid w:val="005F1173"/>
    <w:rsid w:val="005F1671"/>
    <w:rsid w:val="005F4014"/>
    <w:rsid w:val="005F4B55"/>
    <w:rsid w:val="005F501F"/>
    <w:rsid w:val="00600D06"/>
    <w:rsid w:val="00602803"/>
    <w:rsid w:val="006071C7"/>
    <w:rsid w:val="006101E6"/>
    <w:rsid w:val="00611C25"/>
    <w:rsid w:val="006155B7"/>
    <w:rsid w:val="00615826"/>
    <w:rsid w:val="00630F34"/>
    <w:rsid w:val="00634401"/>
    <w:rsid w:val="00642C14"/>
    <w:rsid w:val="00646553"/>
    <w:rsid w:val="0065101F"/>
    <w:rsid w:val="00654F35"/>
    <w:rsid w:val="00661BCE"/>
    <w:rsid w:val="00662CCB"/>
    <w:rsid w:val="00663346"/>
    <w:rsid w:val="00665FFC"/>
    <w:rsid w:val="00666D39"/>
    <w:rsid w:val="0067072E"/>
    <w:rsid w:val="00670E73"/>
    <w:rsid w:val="00671BA0"/>
    <w:rsid w:val="00674E72"/>
    <w:rsid w:val="0067610E"/>
    <w:rsid w:val="0067686C"/>
    <w:rsid w:val="00676C17"/>
    <w:rsid w:val="006827F5"/>
    <w:rsid w:val="00682CB5"/>
    <w:rsid w:val="00683857"/>
    <w:rsid w:val="006851C6"/>
    <w:rsid w:val="00687711"/>
    <w:rsid w:val="00690BC9"/>
    <w:rsid w:val="00694197"/>
    <w:rsid w:val="006957C0"/>
    <w:rsid w:val="00696291"/>
    <w:rsid w:val="00696E9E"/>
    <w:rsid w:val="006A3EE2"/>
    <w:rsid w:val="006A41C7"/>
    <w:rsid w:val="006A6DC6"/>
    <w:rsid w:val="006B3685"/>
    <w:rsid w:val="006B3687"/>
    <w:rsid w:val="006B51B3"/>
    <w:rsid w:val="006B5768"/>
    <w:rsid w:val="006B7252"/>
    <w:rsid w:val="006B76FB"/>
    <w:rsid w:val="006C1DC8"/>
    <w:rsid w:val="006C2180"/>
    <w:rsid w:val="006C3902"/>
    <w:rsid w:val="006D09DB"/>
    <w:rsid w:val="006D1B04"/>
    <w:rsid w:val="006D5859"/>
    <w:rsid w:val="006D643C"/>
    <w:rsid w:val="006E13F7"/>
    <w:rsid w:val="006E1DE6"/>
    <w:rsid w:val="006E349C"/>
    <w:rsid w:val="006E47F9"/>
    <w:rsid w:val="006E4C6C"/>
    <w:rsid w:val="006E6E0F"/>
    <w:rsid w:val="006F2887"/>
    <w:rsid w:val="006F3A80"/>
    <w:rsid w:val="00707AA0"/>
    <w:rsid w:val="00711891"/>
    <w:rsid w:val="00713A1B"/>
    <w:rsid w:val="00714608"/>
    <w:rsid w:val="00715B83"/>
    <w:rsid w:val="0071688F"/>
    <w:rsid w:val="00716E5B"/>
    <w:rsid w:val="007221A7"/>
    <w:rsid w:val="0072391E"/>
    <w:rsid w:val="00723DE1"/>
    <w:rsid w:val="007244EF"/>
    <w:rsid w:val="0072600D"/>
    <w:rsid w:val="00727533"/>
    <w:rsid w:val="00732B19"/>
    <w:rsid w:val="0073337E"/>
    <w:rsid w:val="0073343B"/>
    <w:rsid w:val="00736116"/>
    <w:rsid w:val="007400ED"/>
    <w:rsid w:val="00750A32"/>
    <w:rsid w:val="00751AA9"/>
    <w:rsid w:val="00751AC3"/>
    <w:rsid w:val="00752DAC"/>
    <w:rsid w:val="00756293"/>
    <w:rsid w:val="00756DDD"/>
    <w:rsid w:val="00757D1F"/>
    <w:rsid w:val="007636F0"/>
    <w:rsid w:val="00765B5E"/>
    <w:rsid w:val="00772C9F"/>
    <w:rsid w:val="007751F9"/>
    <w:rsid w:val="00780234"/>
    <w:rsid w:val="00780E1B"/>
    <w:rsid w:val="00783A54"/>
    <w:rsid w:val="00784531"/>
    <w:rsid w:val="0078583A"/>
    <w:rsid w:val="00787815"/>
    <w:rsid w:val="007907D6"/>
    <w:rsid w:val="0079095A"/>
    <w:rsid w:val="007943AC"/>
    <w:rsid w:val="007A53FC"/>
    <w:rsid w:val="007B2A67"/>
    <w:rsid w:val="007B3BE3"/>
    <w:rsid w:val="007B510C"/>
    <w:rsid w:val="007B63E3"/>
    <w:rsid w:val="007C0A34"/>
    <w:rsid w:val="007C14A2"/>
    <w:rsid w:val="007C195D"/>
    <w:rsid w:val="007C25FC"/>
    <w:rsid w:val="007C541E"/>
    <w:rsid w:val="007D07FF"/>
    <w:rsid w:val="007D0C8C"/>
    <w:rsid w:val="007D309B"/>
    <w:rsid w:val="007D5495"/>
    <w:rsid w:val="007D6182"/>
    <w:rsid w:val="007D6EC6"/>
    <w:rsid w:val="007E1781"/>
    <w:rsid w:val="007E58A7"/>
    <w:rsid w:val="007F0F36"/>
    <w:rsid w:val="007F3437"/>
    <w:rsid w:val="007F397F"/>
    <w:rsid w:val="00805A62"/>
    <w:rsid w:val="00807221"/>
    <w:rsid w:val="00810304"/>
    <w:rsid w:val="00811F72"/>
    <w:rsid w:val="008148E6"/>
    <w:rsid w:val="00815E1C"/>
    <w:rsid w:val="00820AE3"/>
    <w:rsid w:val="008224EA"/>
    <w:rsid w:val="0082294A"/>
    <w:rsid w:val="00826C06"/>
    <w:rsid w:val="0082794C"/>
    <w:rsid w:val="00827F8C"/>
    <w:rsid w:val="00835CA0"/>
    <w:rsid w:val="0083725C"/>
    <w:rsid w:val="008372F3"/>
    <w:rsid w:val="00842D18"/>
    <w:rsid w:val="00844241"/>
    <w:rsid w:val="00847293"/>
    <w:rsid w:val="00847600"/>
    <w:rsid w:val="00850928"/>
    <w:rsid w:val="008525E9"/>
    <w:rsid w:val="00852878"/>
    <w:rsid w:val="00855D02"/>
    <w:rsid w:val="008648FB"/>
    <w:rsid w:val="008663AD"/>
    <w:rsid w:val="00866A7F"/>
    <w:rsid w:val="00870DB4"/>
    <w:rsid w:val="0087178D"/>
    <w:rsid w:val="0087717F"/>
    <w:rsid w:val="00881486"/>
    <w:rsid w:val="008835F9"/>
    <w:rsid w:val="00885DE6"/>
    <w:rsid w:val="00887720"/>
    <w:rsid w:val="00897608"/>
    <w:rsid w:val="008A11CB"/>
    <w:rsid w:val="008A218E"/>
    <w:rsid w:val="008B09B1"/>
    <w:rsid w:val="008B2282"/>
    <w:rsid w:val="008B32DD"/>
    <w:rsid w:val="008B7307"/>
    <w:rsid w:val="008C0E17"/>
    <w:rsid w:val="008C0E25"/>
    <w:rsid w:val="008C525F"/>
    <w:rsid w:val="008C7AF3"/>
    <w:rsid w:val="008C7C22"/>
    <w:rsid w:val="008D2E57"/>
    <w:rsid w:val="008D4602"/>
    <w:rsid w:val="008D5093"/>
    <w:rsid w:val="008E0B9B"/>
    <w:rsid w:val="008E16BD"/>
    <w:rsid w:val="008E20F3"/>
    <w:rsid w:val="008E5644"/>
    <w:rsid w:val="008F0B97"/>
    <w:rsid w:val="008F0F94"/>
    <w:rsid w:val="008F4393"/>
    <w:rsid w:val="008F5B70"/>
    <w:rsid w:val="008F6AC1"/>
    <w:rsid w:val="009025CD"/>
    <w:rsid w:val="00905077"/>
    <w:rsid w:val="0090592B"/>
    <w:rsid w:val="00906275"/>
    <w:rsid w:val="009062CF"/>
    <w:rsid w:val="009072E4"/>
    <w:rsid w:val="00911239"/>
    <w:rsid w:val="0091135E"/>
    <w:rsid w:val="00912141"/>
    <w:rsid w:val="00913269"/>
    <w:rsid w:val="009205C1"/>
    <w:rsid w:val="00925671"/>
    <w:rsid w:val="00925794"/>
    <w:rsid w:val="009266F7"/>
    <w:rsid w:val="00927221"/>
    <w:rsid w:val="00927CD3"/>
    <w:rsid w:val="00927D16"/>
    <w:rsid w:val="00930B91"/>
    <w:rsid w:val="009312D5"/>
    <w:rsid w:val="00936A32"/>
    <w:rsid w:val="00941B57"/>
    <w:rsid w:val="009422C3"/>
    <w:rsid w:val="00942D36"/>
    <w:rsid w:val="00946FCA"/>
    <w:rsid w:val="00950D39"/>
    <w:rsid w:val="0095672E"/>
    <w:rsid w:val="00956903"/>
    <w:rsid w:val="00957464"/>
    <w:rsid w:val="00960B8B"/>
    <w:rsid w:val="009613D3"/>
    <w:rsid w:val="00961F9F"/>
    <w:rsid w:val="00963341"/>
    <w:rsid w:val="00963A1B"/>
    <w:rsid w:val="009650B5"/>
    <w:rsid w:val="00970533"/>
    <w:rsid w:val="009728CE"/>
    <w:rsid w:val="009765BD"/>
    <w:rsid w:val="009777B5"/>
    <w:rsid w:val="0098263B"/>
    <w:rsid w:val="00984CDD"/>
    <w:rsid w:val="00985E63"/>
    <w:rsid w:val="0099020E"/>
    <w:rsid w:val="009906DE"/>
    <w:rsid w:val="009913F8"/>
    <w:rsid w:val="00993ECA"/>
    <w:rsid w:val="00993F1D"/>
    <w:rsid w:val="009967CA"/>
    <w:rsid w:val="0099698F"/>
    <w:rsid w:val="00997321"/>
    <w:rsid w:val="009A0DD4"/>
    <w:rsid w:val="009A130E"/>
    <w:rsid w:val="009A2255"/>
    <w:rsid w:val="009A43B7"/>
    <w:rsid w:val="009A4CBF"/>
    <w:rsid w:val="009A5F9B"/>
    <w:rsid w:val="009B1D38"/>
    <w:rsid w:val="009B2584"/>
    <w:rsid w:val="009B3B1C"/>
    <w:rsid w:val="009B514E"/>
    <w:rsid w:val="009C03DA"/>
    <w:rsid w:val="009C2378"/>
    <w:rsid w:val="009C29ED"/>
    <w:rsid w:val="009C36B9"/>
    <w:rsid w:val="009D0745"/>
    <w:rsid w:val="009D0952"/>
    <w:rsid w:val="009D2D17"/>
    <w:rsid w:val="009E066C"/>
    <w:rsid w:val="009E449C"/>
    <w:rsid w:val="009F042C"/>
    <w:rsid w:val="009F1580"/>
    <w:rsid w:val="009F30A8"/>
    <w:rsid w:val="009F364D"/>
    <w:rsid w:val="00A00850"/>
    <w:rsid w:val="00A00BE1"/>
    <w:rsid w:val="00A0251C"/>
    <w:rsid w:val="00A0296E"/>
    <w:rsid w:val="00A074D2"/>
    <w:rsid w:val="00A07FF7"/>
    <w:rsid w:val="00A101A1"/>
    <w:rsid w:val="00A10524"/>
    <w:rsid w:val="00A1057F"/>
    <w:rsid w:val="00A10CCA"/>
    <w:rsid w:val="00A10DF0"/>
    <w:rsid w:val="00A13D82"/>
    <w:rsid w:val="00A17777"/>
    <w:rsid w:val="00A225AE"/>
    <w:rsid w:val="00A23635"/>
    <w:rsid w:val="00A23783"/>
    <w:rsid w:val="00A23A83"/>
    <w:rsid w:val="00A247D4"/>
    <w:rsid w:val="00A24FEB"/>
    <w:rsid w:val="00A2526A"/>
    <w:rsid w:val="00A2622B"/>
    <w:rsid w:val="00A27CCE"/>
    <w:rsid w:val="00A32256"/>
    <w:rsid w:val="00A333EB"/>
    <w:rsid w:val="00A3708F"/>
    <w:rsid w:val="00A379EE"/>
    <w:rsid w:val="00A41D74"/>
    <w:rsid w:val="00A436F4"/>
    <w:rsid w:val="00A43C3A"/>
    <w:rsid w:val="00A45450"/>
    <w:rsid w:val="00A4548C"/>
    <w:rsid w:val="00A50CD5"/>
    <w:rsid w:val="00A5234B"/>
    <w:rsid w:val="00A54C36"/>
    <w:rsid w:val="00A5591E"/>
    <w:rsid w:val="00A56BE3"/>
    <w:rsid w:val="00A57E27"/>
    <w:rsid w:val="00A6065F"/>
    <w:rsid w:val="00A60896"/>
    <w:rsid w:val="00A61835"/>
    <w:rsid w:val="00A624A6"/>
    <w:rsid w:val="00A632AE"/>
    <w:rsid w:val="00A71592"/>
    <w:rsid w:val="00A74AB9"/>
    <w:rsid w:val="00A805B8"/>
    <w:rsid w:val="00A81DE3"/>
    <w:rsid w:val="00A83CE8"/>
    <w:rsid w:val="00A8583F"/>
    <w:rsid w:val="00A87E64"/>
    <w:rsid w:val="00A9153E"/>
    <w:rsid w:val="00A949A3"/>
    <w:rsid w:val="00AA01CF"/>
    <w:rsid w:val="00AA1197"/>
    <w:rsid w:val="00AA1DEB"/>
    <w:rsid w:val="00AA6189"/>
    <w:rsid w:val="00AA6404"/>
    <w:rsid w:val="00AA70AF"/>
    <w:rsid w:val="00AB2F92"/>
    <w:rsid w:val="00AB34F7"/>
    <w:rsid w:val="00AB3991"/>
    <w:rsid w:val="00AB4DF9"/>
    <w:rsid w:val="00AB652A"/>
    <w:rsid w:val="00AB768E"/>
    <w:rsid w:val="00AC020D"/>
    <w:rsid w:val="00AC13CC"/>
    <w:rsid w:val="00AC605E"/>
    <w:rsid w:val="00AC7057"/>
    <w:rsid w:val="00AC7BE3"/>
    <w:rsid w:val="00AD03FE"/>
    <w:rsid w:val="00AD090A"/>
    <w:rsid w:val="00AD33F1"/>
    <w:rsid w:val="00AD37E0"/>
    <w:rsid w:val="00AD5048"/>
    <w:rsid w:val="00AD6005"/>
    <w:rsid w:val="00AD7502"/>
    <w:rsid w:val="00AE0331"/>
    <w:rsid w:val="00AE11CD"/>
    <w:rsid w:val="00AE1B67"/>
    <w:rsid w:val="00AE5983"/>
    <w:rsid w:val="00AE5BCC"/>
    <w:rsid w:val="00AF3643"/>
    <w:rsid w:val="00AF49A5"/>
    <w:rsid w:val="00AF4DD5"/>
    <w:rsid w:val="00B0252E"/>
    <w:rsid w:val="00B05432"/>
    <w:rsid w:val="00B10415"/>
    <w:rsid w:val="00B115BB"/>
    <w:rsid w:val="00B2381E"/>
    <w:rsid w:val="00B25B83"/>
    <w:rsid w:val="00B27117"/>
    <w:rsid w:val="00B30E74"/>
    <w:rsid w:val="00B31314"/>
    <w:rsid w:val="00B322BC"/>
    <w:rsid w:val="00B40B55"/>
    <w:rsid w:val="00B413CC"/>
    <w:rsid w:val="00B422E6"/>
    <w:rsid w:val="00B43068"/>
    <w:rsid w:val="00B435BC"/>
    <w:rsid w:val="00B469A0"/>
    <w:rsid w:val="00B46A91"/>
    <w:rsid w:val="00B5208C"/>
    <w:rsid w:val="00B523EF"/>
    <w:rsid w:val="00B5344E"/>
    <w:rsid w:val="00B54050"/>
    <w:rsid w:val="00B541FB"/>
    <w:rsid w:val="00B54389"/>
    <w:rsid w:val="00B55974"/>
    <w:rsid w:val="00B5749C"/>
    <w:rsid w:val="00B61293"/>
    <w:rsid w:val="00B61F3D"/>
    <w:rsid w:val="00B64B3D"/>
    <w:rsid w:val="00B65C6E"/>
    <w:rsid w:val="00B675B3"/>
    <w:rsid w:val="00B76110"/>
    <w:rsid w:val="00B84088"/>
    <w:rsid w:val="00B84434"/>
    <w:rsid w:val="00B9244D"/>
    <w:rsid w:val="00B92763"/>
    <w:rsid w:val="00B943B1"/>
    <w:rsid w:val="00B95014"/>
    <w:rsid w:val="00B95A1D"/>
    <w:rsid w:val="00B964E1"/>
    <w:rsid w:val="00B96896"/>
    <w:rsid w:val="00BA0FAB"/>
    <w:rsid w:val="00BA1ECE"/>
    <w:rsid w:val="00BA35ED"/>
    <w:rsid w:val="00BA3A2C"/>
    <w:rsid w:val="00BA41E6"/>
    <w:rsid w:val="00BA4775"/>
    <w:rsid w:val="00BB0874"/>
    <w:rsid w:val="00BB2447"/>
    <w:rsid w:val="00BB40C2"/>
    <w:rsid w:val="00BB42A5"/>
    <w:rsid w:val="00BB6101"/>
    <w:rsid w:val="00BB6443"/>
    <w:rsid w:val="00BC2857"/>
    <w:rsid w:val="00BC3CB2"/>
    <w:rsid w:val="00BC4517"/>
    <w:rsid w:val="00BC4DF8"/>
    <w:rsid w:val="00BC6F6E"/>
    <w:rsid w:val="00BC6FA3"/>
    <w:rsid w:val="00BC6FA4"/>
    <w:rsid w:val="00BD2690"/>
    <w:rsid w:val="00BD3D07"/>
    <w:rsid w:val="00BD54A1"/>
    <w:rsid w:val="00BE49FC"/>
    <w:rsid w:val="00BF2CA7"/>
    <w:rsid w:val="00BF37EB"/>
    <w:rsid w:val="00BF3CA5"/>
    <w:rsid w:val="00BF510F"/>
    <w:rsid w:val="00BF52A3"/>
    <w:rsid w:val="00BF6477"/>
    <w:rsid w:val="00BF79D9"/>
    <w:rsid w:val="00C0101E"/>
    <w:rsid w:val="00C01BE7"/>
    <w:rsid w:val="00C022DD"/>
    <w:rsid w:val="00C02EE2"/>
    <w:rsid w:val="00C051B7"/>
    <w:rsid w:val="00C05C99"/>
    <w:rsid w:val="00C1054C"/>
    <w:rsid w:val="00C10A06"/>
    <w:rsid w:val="00C11CA5"/>
    <w:rsid w:val="00C13866"/>
    <w:rsid w:val="00C21A2D"/>
    <w:rsid w:val="00C23929"/>
    <w:rsid w:val="00C25BF5"/>
    <w:rsid w:val="00C265DE"/>
    <w:rsid w:val="00C26F95"/>
    <w:rsid w:val="00C27533"/>
    <w:rsid w:val="00C313E6"/>
    <w:rsid w:val="00C31AD8"/>
    <w:rsid w:val="00C32EE1"/>
    <w:rsid w:val="00C3303E"/>
    <w:rsid w:val="00C36E77"/>
    <w:rsid w:val="00C36E93"/>
    <w:rsid w:val="00C43EB4"/>
    <w:rsid w:val="00C46CF9"/>
    <w:rsid w:val="00C613CC"/>
    <w:rsid w:val="00C61E6F"/>
    <w:rsid w:val="00C6212A"/>
    <w:rsid w:val="00C64F9C"/>
    <w:rsid w:val="00C65D75"/>
    <w:rsid w:val="00C7031A"/>
    <w:rsid w:val="00C70627"/>
    <w:rsid w:val="00C71556"/>
    <w:rsid w:val="00C74965"/>
    <w:rsid w:val="00C74966"/>
    <w:rsid w:val="00C7680B"/>
    <w:rsid w:val="00C77D10"/>
    <w:rsid w:val="00C81434"/>
    <w:rsid w:val="00C838DD"/>
    <w:rsid w:val="00C87678"/>
    <w:rsid w:val="00C90F6B"/>
    <w:rsid w:val="00C930ED"/>
    <w:rsid w:val="00CA1409"/>
    <w:rsid w:val="00CA53C9"/>
    <w:rsid w:val="00CA5476"/>
    <w:rsid w:val="00CA5C4C"/>
    <w:rsid w:val="00CA5F57"/>
    <w:rsid w:val="00CA7E84"/>
    <w:rsid w:val="00CB14FF"/>
    <w:rsid w:val="00CB2995"/>
    <w:rsid w:val="00CC1D6C"/>
    <w:rsid w:val="00CC5233"/>
    <w:rsid w:val="00CC726D"/>
    <w:rsid w:val="00CD24F4"/>
    <w:rsid w:val="00CD383C"/>
    <w:rsid w:val="00CD3ABA"/>
    <w:rsid w:val="00CD46E0"/>
    <w:rsid w:val="00CE7F70"/>
    <w:rsid w:val="00CF04EF"/>
    <w:rsid w:val="00CF2A27"/>
    <w:rsid w:val="00CF3141"/>
    <w:rsid w:val="00CF395F"/>
    <w:rsid w:val="00CF3BE5"/>
    <w:rsid w:val="00CF43CA"/>
    <w:rsid w:val="00CF6C89"/>
    <w:rsid w:val="00D069D6"/>
    <w:rsid w:val="00D10AD6"/>
    <w:rsid w:val="00D10F70"/>
    <w:rsid w:val="00D13B20"/>
    <w:rsid w:val="00D13C2A"/>
    <w:rsid w:val="00D13CE6"/>
    <w:rsid w:val="00D21572"/>
    <w:rsid w:val="00D247E9"/>
    <w:rsid w:val="00D26992"/>
    <w:rsid w:val="00D304CD"/>
    <w:rsid w:val="00D33D1A"/>
    <w:rsid w:val="00D33E1E"/>
    <w:rsid w:val="00D36B1A"/>
    <w:rsid w:val="00D40ED4"/>
    <w:rsid w:val="00D45C79"/>
    <w:rsid w:val="00D46443"/>
    <w:rsid w:val="00D52478"/>
    <w:rsid w:val="00D52B0A"/>
    <w:rsid w:val="00D57399"/>
    <w:rsid w:val="00D60469"/>
    <w:rsid w:val="00D60A95"/>
    <w:rsid w:val="00D64901"/>
    <w:rsid w:val="00D64C58"/>
    <w:rsid w:val="00D64EFC"/>
    <w:rsid w:val="00D6751A"/>
    <w:rsid w:val="00D80ADD"/>
    <w:rsid w:val="00D8341A"/>
    <w:rsid w:val="00D839CF"/>
    <w:rsid w:val="00D83B8F"/>
    <w:rsid w:val="00D85ED8"/>
    <w:rsid w:val="00D86ACF"/>
    <w:rsid w:val="00D920EE"/>
    <w:rsid w:val="00D9395F"/>
    <w:rsid w:val="00D93A95"/>
    <w:rsid w:val="00D944F6"/>
    <w:rsid w:val="00D9675E"/>
    <w:rsid w:val="00DA4D4C"/>
    <w:rsid w:val="00DA5B71"/>
    <w:rsid w:val="00DA79F7"/>
    <w:rsid w:val="00DB06D1"/>
    <w:rsid w:val="00DB31E0"/>
    <w:rsid w:val="00DB343D"/>
    <w:rsid w:val="00DB5145"/>
    <w:rsid w:val="00DB7A8C"/>
    <w:rsid w:val="00DB7ED2"/>
    <w:rsid w:val="00DC20B6"/>
    <w:rsid w:val="00DC739D"/>
    <w:rsid w:val="00DD2139"/>
    <w:rsid w:val="00DD21CA"/>
    <w:rsid w:val="00DD2EDE"/>
    <w:rsid w:val="00DD40B7"/>
    <w:rsid w:val="00DD7D55"/>
    <w:rsid w:val="00DE028A"/>
    <w:rsid w:val="00DE2251"/>
    <w:rsid w:val="00DE5649"/>
    <w:rsid w:val="00DF24FE"/>
    <w:rsid w:val="00DF2D49"/>
    <w:rsid w:val="00DF4200"/>
    <w:rsid w:val="00E01B7A"/>
    <w:rsid w:val="00E06645"/>
    <w:rsid w:val="00E070CD"/>
    <w:rsid w:val="00E076D7"/>
    <w:rsid w:val="00E076FC"/>
    <w:rsid w:val="00E1088E"/>
    <w:rsid w:val="00E112B2"/>
    <w:rsid w:val="00E132B8"/>
    <w:rsid w:val="00E20807"/>
    <w:rsid w:val="00E214AD"/>
    <w:rsid w:val="00E22F87"/>
    <w:rsid w:val="00E23052"/>
    <w:rsid w:val="00E24F94"/>
    <w:rsid w:val="00E3124B"/>
    <w:rsid w:val="00E31E18"/>
    <w:rsid w:val="00E32B01"/>
    <w:rsid w:val="00E37E97"/>
    <w:rsid w:val="00E438D1"/>
    <w:rsid w:val="00E44F2E"/>
    <w:rsid w:val="00E508B4"/>
    <w:rsid w:val="00E55136"/>
    <w:rsid w:val="00E55EF0"/>
    <w:rsid w:val="00E61FC9"/>
    <w:rsid w:val="00E62593"/>
    <w:rsid w:val="00E65864"/>
    <w:rsid w:val="00E67378"/>
    <w:rsid w:val="00E67F5E"/>
    <w:rsid w:val="00E70997"/>
    <w:rsid w:val="00E7321F"/>
    <w:rsid w:val="00E734FF"/>
    <w:rsid w:val="00E75231"/>
    <w:rsid w:val="00E762FF"/>
    <w:rsid w:val="00E7652E"/>
    <w:rsid w:val="00E76A49"/>
    <w:rsid w:val="00E8147F"/>
    <w:rsid w:val="00E81C79"/>
    <w:rsid w:val="00E827DC"/>
    <w:rsid w:val="00E8288A"/>
    <w:rsid w:val="00E833D5"/>
    <w:rsid w:val="00E8428E"/>
    <w:rsid w:val="00E86B6B"/>
    <w:rsid w:val="00E87CD0"/>
    <w:rsid w:val="00E90703"/>
    <w:rsid w:val="00E96222"/>
    <w:rsid w:val="00E9638A"/>
    <w:rsid w:val="00E976C5"/>
    <w:rsid w:val="00EA2F36"/>
    <w:rsid w:val="00EA4DE4"/>
    <w:rsid w:val="00EA53FD"/>
    <w:rsid w:val="00EA72E8"/>
    <w:rsid w:val="00EA73EE"/>
    <w:rsid w:val="00EB1458"/>
    <w:rsid w:val="00EB2D3F"/>
    <w:rsid w:val="00EB3D81"/>
    <w:rsid w:val="00EB3F36"/>
    <w:rsid w:val="00EB4CBA"/>
    <w:rsid w:val="00EB528C"/>
    <w:rsid w:val="00EB79E7"/>
    <w:rsid w:val="00EC3AA5"/>
    <w:rsid w:val="00EC4224"/>
    <w:rsid w:val="00EC66D1"/>
    <w:rsid w:val="00EC6CBE"/>
    <w:rsid w:val="00ED05FA"/>
    <w:rsid w:val="00ED46EF"/>
    <w:rsid w:val="00ED6F1B"/>
    <w:rsid w:val="00EE0F55"/>
    <w:rsid w:val="00EE1302"/>
    <w:rsid w:val="00EE1400"/>
    <w:rsid w:val="00EE39D3"/>
    <w:rsid w:val="00EE4466"/>
    <w:rsid w:val="00EE4906"/>
    <w:rsid w:val="00EE5CC6"/>
    <w:rsid w:val="00EF6964"/>
    <w:rsid w:val="00EF7946"/>
    <w:rsid w:val="00F02467"/>
    <w:rsid w:val="00F066F2"/>
    <w:rsid w:val="00F102AA"/>
    <w:rsid w:val="00F163E6"/>
    <w:rsid w:val="00F1655A"/>
    <w:rsid w:val="00F168EE"/>
    <w:rsid w:val="00F206BD"/>
    <w:rsid w:val="00F25713"/>
    <w:rsid w:val="00F257A6"/>
    <w:rsid w:val="00F25974"/>
    <w:rsid w:val="00F3068C"/>
    <w:rsid w:val="00F310C8"/>
    <w:rsid w:val="00F34383"/>
    <w:rsid w:val="00F35FBC"/>
    <w:rsid w:val="00F41072"/>
    <w:rsid w:val="00F440A1"/>
    <w:rsid w:val="00F451B3"/>
    <w:rsid w:val="00F45D90"/>
    <w:rsid w:val="00F478EA"/>
    <w:rsid w:val="00F5022E"/>
    <w:rsid w:val="00F548F8"/>
    <w:rsid w:val="00F5501E"/>
    <w:rsid w:val="00F55CCB"/>
    <w:rsid w:val="00F55E0E"/>
    <w:rsid w:val="00F57713"/>
    <w:rsid w:val="00F6080A"/>
    <w:rsid w:val="00F6087A"/>
    <w:rsid w:val="00F63522"/>
    <w:rsid w:val="00F6395E"/>
    <w:rsid w:val="00F639D0"/>
    <w:rsid w:val="00F63C3D"/>
    <w:rsid w:val="00F64014"/>
    <w:rsid w:val="00F7747F"/>
    <w:rsid w:val="00F77E3E"/>
    <w:rsid w:val="00F81012"/>
    <w:rsid w:val="00F817A3"/>
    <w:rsid w:val="00F81B63"/>
    <w:rsid w:val="00F91376"/>
    <w:rsid w:val="00F91B19"/>
    <w:rsid w:val="00F92416"/>
    <w:rsid w:val="00F93611"/>
    <w:rsid w:val="00F93E53"/>
    <w:rsid w:val="00F956F1"/>
    <w:rsid w:val="00F95E24"/>
    <w:rsid w:val="00FA2E79"/>
    <w:rsid w:val="00FA3D65"/>
    <w:rsid w:val="00FA5726"/>
    <w:rsid w:val="00FB1847"/>
    <w:rsid w:val="00FB202D"/>
    <w:rsid w:val="00FB70ED"/>
    <w:rsid w:val="00FC0FCD"/>
    <w:rsid w:val="00FC204D"/>
    <w:rsid w:val="00FC72C8"/>
    <w:rsid w:val="00FD0537"/>
    <w:rsid w:val="00FD0DE4"/>
    <w:rsid w:val="00FD34DD"/>
    <w:rsid w:val="00FD7F38"/>
    <w:rsid w:val="00FE0917"/>
    <w:rsid w:val="00FE0E84"/>
    <w:rsid w:val="00FE12C9"/>
    <w:rsid w:val="00FE25ED"/>
    <w:rsid w:val="00FE2AE9"/>
    <w:rsid w:val="00FE42C7"/>
    <w:rsid w:val="00FE4890"/>
    <w:rsid w:val="00FE59E7"/>
    <w:rsid w:val="00FE7F48"/>
    <w:rsid w:val="00FF0BB7"/>
    <w:rsid w:val="00FF4741"/>
    <w:rsid w:val="00FF6699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A878A5"/>
  <w15:chartTrackingRefBased/>
  <w15:docId w15:val="{1C5158C5-DE16-49F9-8E1A-39B2F69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autoSpaceDE w:val="0"/>
      <w:autoSpaceDN w:val="0"/>
      <w:ind w:firstLine="567"/>
      <w:jc w:val="both"/>
    </w:pPr>
    <w:rPr>
      <w:kern w:val="24"/>
      <w:sz w:val="24"/>
      <w:szCs w:val="24"/>
    </w:rPr>
  </w:style>
  <w:style w:type="paragraph" w:styleId="1">
    <w:name w:val="heading 1"/>
    <w:basedOn w:val="a0"/>
    <w:next w:val="a0"/>
    <w:qFormat/>
    <w:pPr>
      <w:numPr>
        <w:numId w:val="7"/>
      </w:numPr>
      <w:suppressLineNumbers/>
      <w:tabs>
        <w:tab w:val="left" w:pos="426"/>
      </w:tabs>
      <w:suppressAutoHyphens/>
      <w:spacing w:before="480" w:after="12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0"/>
    <w:next w:val="a0"/>
    <w:autoRedefine/>
    <w:qFormat/>
    <w:rsid w:val="007A53FC"/>
    <w:pPr>
      <w:keepLines/>
      <w:numPr>
        <w:ilvl w:val="1"/>
        <w:numId w:val="7"/>
      </w:numPr>
      <w:suppressLineNumbers/>
      <w:tabs>
        <w:tab w:val="clear" w:pos="1287"/>
        <w:tab w:val="num" w:pos="851"/>
      </w:tabs>
      <w:spacing w:before="120"/>
      <w:ind w:left="851" w:hanging="851"/>
      <w:outlineLvl w:val="1"/>
    </w:pPr>
    <w:rPr>
      <w:bCs/>
    </w:rPr>
  </w:style>
  <w:style w:type="paragraph" w:styleId="3">
    <w:name w:val="heading 3"/>
    <w:basedOn w:val="a0"/>
    <w:next w:val="a0"/>
    <w:autoRedefine/>
    <w:qFormat/>
    <w:rsid w:val="001E549B"/>
    <w:pPr>
      <w:widowControl/>
      <w:numPr>
        <w:ilvl w:val="2"/>
        <w:numId w:val="7"/>
      </w:numPr>
      <w:suppressLineNumbers/>
      <w:tabs>
        <w:tab w:val="clear" w:pos="1146"/>
        <w:tab w:val="left" w:pos="851"/>
      </w:tabs>
      <w:spacing w:before="60"/>
      <w:ind w:left="851" w:hanging="851"/>
      <w:outlineLvl w:val="2"/>
    </w:pPr>
  </w:style>
  <w:style w:type="paragraph" w:styleId="4">
    <w:name w:val="heading 4"/>
    <w:basedOn w:val="a0"/>
    <w:next w:val="a0"/>
    <w:autoRedefine/>
    <w:qFormat/>
    <w:rsid w:val="009913F8"/>
    <w:pPr>
      <w:widowControl/>
      <w:numPr>
        <w:ilvl w:val="3"/>
        <w:numId w:val="7"/>
      </w:numPr>
      <w:suppressLineNumbers/>
      <w:tabs>
        <w:tab w:val="clear" w:pos="2357"/>
      </w:tabs>
      <w:ind w:left="851" w:hanging="851"/>
      <w:outlineLvl w:val="3"/>
    </w:pPr>
  </w:style>
  <w:style w:type="paragraph" w:styleId="5">
    <w:name w:val="heading 5"/>
    <w:basedOn w:val="a0"/>
    <w:next w:val="a0"/>
    <w:autoRedefine/>
    <w:qFormat/>
    <w:rsid w:val="00195F2A"/>
    <w:pPr>
      <w:numPr>
        <w:ilvl w:val="4"/>
        <w:numId w:val="7"/>
      </w:numPr>
      <w:tabs>
        <w:tab w:val="clear" w:pos="1620"/>
      </w:tabs>
      <w:ind w:left="1276" w:hanging="1276"/>
      <w:outlineLvl w:val="4"/>
    </w:pPr>
  </w:style>
  <w:style w:type="paragraph" w:styleId="6">
    <w:name w:val="heading 6"/>
    <w:basedOn w:val="a0"/>
    <w:next w:val="a0"/>
    <w:qFormat/>
    <w:pPr>
      <w:keepNext/>
      <w:numPr>
        <w:ilvl w:val="5"/>
        <w:numId w:val="7"/>
      </w:numPr>
      <w:spacing w:line="240" w:lineRule="exact"/>
      <w:jc w:val="center"/>
      <w:outlineLvl w:val="5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color w:val="000000"/>
    </w:rPr>
  </w:style>
  <w:style w:type="paragraph" w:styleId="a5">
    <w:name w:val="Body Text Indent"/>
    <w:basedOn w:val="a0"/>
    <w:pPr>
      <w:jc w:val="center"/>
    </w:pPr>
    <w:rPr>
      <w:b/>
    </w:rPr>
  </w:style>
  <w:style w:type="paragraph" w:customStyle="1" w:styleId="30">
    <w:name w:val="заголовок 3"/>
    <w:basedOn w:val="a0"/>
    <w:next w:val="a0"/>
    <w:pPr>
      <w:keepNext/>
      <w:tabs>
        <w:tab w:val="num" w:pos="900"/>
        <w:tab w:val="num" w:pos="2136"/>
      </w:tabs>
      <w:spacing w:before="240" w:after="60"/>
      <w:ind w:left="2136" w:hanging="720"/>
      <w:jc w:val="center"/>
      <w:outlineLvl w:val="2"/>
    </w:pPr>
    <w:rPr>
      <w:rFonts w:ascii="PragmaticaCTT" w:hAnsi="PragmaticaCTT"/>
      <w:b/>
    </w:rPr>
  </w:style>
  <w:style w:type="paragraph" w:styleId="20">
    <w:name w:val="List 2"/>
    <w:basedOn w:val="a0"/>
    <w:pPr>
      <w:ind w:firstLine="720"/>
    </w:pPr>
    <w:rPr>
      <w:rFonts w:ascii="NTTimes/Cyrillic" w:hAnsi="NTTimes/Cyrillic"/>
    </w:rPr>
  </w:style>
  <w:style w:type="paragraph" w:styleId="a6">
    <w:name w:val="header"/>
    <w:basedOn w:val="a0"/>
    <w:link w:val="a7"/>
    <w:autoRedefine/>
    <w:uiPriority w:val="99"/>
    <w:rsid w:val="00053968"/>
    <w:pPr>
      <w:tabs>
        <w:tab w:val="center" w:pos="4677"/>
        <w:tab w:val="right" w:pos="9355"/>
      </w:tabs>
      <w:ind w:firstLine="0"/>
      <w:jc w:val="left"/>
    </w:p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</w:pPr>
  </w:style>
  <w:style w:type="paragraph" w:customStyle="1" w:styleId="aa">
    <w:name w:val="Обычный*"/>
    <w:basedOn w:val="a0"/>
  </w:style>
  <w:style w:type="character" w:styleId="ab">
    <w:name w:val="page number"/>
    <w:basedOn w:val="a1"/>
  </w:style>
  <w:style w:type="paragraph" w:customStyle="1" w:styleId="-">
    <w:name w:val="НД-Часть в оглавлении"/>
    <w:basedOn w:val="a0"/>
    <w:autoRedefine/>
    <w:pPr>
      <w:widowControl/>
      <w:spacing w:before="120"/>
      <w:ind w:left="1134" w:hanging="1134"/>
      <w:jc w:val="left"/>
    </w:pPr>
  </w:style>
  <w:style w:type="paragraph" w:styleId="21">
    <w:name w:val="Body Text Indent 2"/>
    <w:basedOn w:val="a0"/>
    <w:pPr>
      <w:ind w:left="1701" w:firstLine="142"/>
    </w:pPr>
    <w:rPr>
      <w:rFonts w:ascii="Arial" w:hAnsi="Arial"/>
      <w:sz w:val="16"/>
    </w:rPr>
  </w:style>
  <w:style w:type="paragraph" w:styleId="31">
    <w:name w:val="Body Text Indent 3"/>
    <w:basedOn w:val="a0"/>
    <w:pPr>
      <w:tabs>
        <w:tab w:val="left" w:pos="567"/>
      </w:tabs>
      <w:ind w:firstLine="284"/>
    </w:pPr>
    <w:rPr>
      <w:rFonts w:ascii="Arial" w:hAnsi="Arial"/>
      <w:sz w:val="18"/>
    </w:rPr>
  </w:style>
  <w:style w:type="paragraph" w:customStyle="1" w:styleId="-0">
    <w:name w:val="НД-Приложение в оглавлении"/>
    <w:basedOn w:val="a0"/>
    <w:autoRedefine/>
    <w:rsid w:val="00C11CA5"/>
    <w:pPr>
      <w:widowControl/>
      <w:spacing w:before="120"/>
      <w:ind w:firstLine="0"/>
      <w:jc w:val="left"/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0"/>
    <w:link w:val="ae"/>
    <w:uiPriority w:val="99"/>
    <w:semiHidden/>
  </w:style>
  <w:style w:type="paragraph" w:customStyle="1" w:styleId="TableCell">
    <w:name w:val="TableCell"/>
    <w:rPr>
      <w:sz w:val="18"/>
      <w:szCs w:val="18"/>
      <w:lang w:eastAsia="en-US"/>
    </w:rPr>
  </w:style>
  <w:style w:type="paragraph" w:styleId="af">
    <w:name w:val="footnote text"/>
    <w:basedOn w:val="a0"/>
    <w:semiHidden/>
  </w:style>
  <w:style w:type="character" w:styleId="af0">
    <w:name w:val="footnote reference"/>
    <w:semiHidden/>
    <w:rPr>
      <w:vertAlign w:val="superscript"/>
    </w:rPr>
  </w:style>
  <w:style w:type="paragraph" w:styleId="af1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96">
    <w:name w:val="Стиль 9 пт полужирный По центру Перед:  6 пт"/>
    <w:basedOn w:val="a0"/>
    <w:pPr>
      <w:spacing w:before="120"/>
      <w:jc w:val="center"/>
    </w:pPr>
    <w:rPr>
      <w:b/>
      <w:bCs/>
      <w:sz w:val="18"/>
    </w:rPr>
  </w:style>
  <w:style w:type="paragraph" w:customStyle="1" w:styleId="2-0">
    <w:name w:val="Заголовок 2-абзац"/>
    <w:basedOn w:val="2"/>
    <w:autoRedefine/>
    <w:pPr>
      <w:numPr>
        <w:numId w:val="4"/>
      </w:numPr>
      <w:tabs>
        <w:tab w:val="left" w:pos="540"/>
      </w:tabs>
    </w:pPr>
    <w:rPr>
      <w:b/>
    </w:rPr>
  </w:style>
  <w:style w:type="paragraph" w:customStyle="1" w:styleId="af2">
    <w:name w:val="Обычный без отступа"/>
    <w:basedOn w:val="a0"/>
    <w:pPr>
      <w:widowControl/>
      <w:ind w:firstLine="0"/>
    </w:pPr>
  </w:style>
  <w:style w:type="paragraph" w:styleId="12">
    <w:name w:val="toc 1"/>
    <w:basedOn w:val="a0"/>
    <w:next w:val="a0"/>
    <w:autoRedefine/>
    <w:uiPriority w:val="39"/>
    <w:pPr>
      <w:widowControl/>
      <w:tabs>
        <w:tab w:val="left" w:pos="851"/>
        <w:tab w:val="right" w:leader="dot" w:pos="9356"/>
      </w:tabs>
      <w:spacing w:before="120"/>
      <w:ind w:left="425" w:right="794" w:hanging="425"/>
      <w:jc w:val="left"/>
    </w:pPr>
    <w:rPr>
      <w:b/>
      <w:bCs/>
      <w:caps/>
      <w:noProof/>
      <w:lang w:val="en-US"/>
    </w:rPr>
  </w:style>
  <w:style w:type="paragraph" w:customStyle="1" w:styleId="af3">
    <w:name w:val="Приложение в оглавлении"/>
    <w:basedOn w:val="a0"/>
    <w:autoRedefine/>
    <w:rsid w:val="00716E5B"/>
    <w:pPr>
      <w:widowControl/>
      <w:ind w:right="16" w:firstLine="0"/>
    </w:pPr>
  </w:style>
  <w:style w:type="paragraph" w:customStyle="1" w:styleId="-1">
    <w:name w:val="Приложение-назв_документа"/>
    <w:basedOn w:val="a0"/>
    <w:autoRedefine/>
    <w:pPr>
      <w:ind w:left="4820" w:firstLine="0"/>
    </w:pPr>
    <w:rPr>
      <w:i/>
      <w:iCs/>
      <w:sz w:val="20"/>
    </w:rPr>
  </w:style>
  <w:style w:type="paragraph" w:customStyle="1" w:styleId="-2">
    <w:name w:val="Приложение-номер"/>
    <w:basedOn w:val="af2"/>
    <w:pPr>
      <w:jc w:val="right"/>
    </w:pPr>
  </w:style>
  <w:style w:type="paragraph" w:customStyle="1" w:styleId="1-">
    <w:name w:val="Список ненумер. 1-го уровня"/>
    <w:basedOn w:val="a0"/>
    <w:autoRedefine/>
    <w:rsid w:val="009C29ED"/>
    <w:pPr>
      <w:keepLines/>
      <w:numPr>
        <w:numId w:val="2"/>
      </w:numPr>
      <w:tabs>
        <w:tab w:val="left" w:pos="851"/>
      </w:tabs>
    </w:pPr>
  </w:style>
  <w:style w:type="paragraph" w:customStyle="1" w:styleId="2-">
    <w:name w:val="Список ненумер. 2-го уровня"/>
    <w:basedOn w:val="a0"/>
    <w:autoRedefine/>
    <w:pPr>
      <w:numPr>
        <w:numId w:val="3"/>
      </w:numPr>
      <w:tabs>
        <w:tab w:val="left" w:pos="1701"/>
      </w:tabs>
    </w:pPr>
  </w:style>
  <w:style w:type="character" w:customStyle="1" w:styleId="32">
    <w:name w:val="Заголовок 3 Знак"/>
    <w:rPr>
      <w:kern w:val="24"/>
      <w:sz w:val="24"/>
      <w:szCs w:val="24"/>
      <w:lang w:val="ru-RU" w:eastAsia="ru-RU" w:bidi="ar-SA"/>
    </w:rPr>
  </w:style>
  <w:style w:type="character" w:customStyle="1" w:styleId="40">
    <w:name w:val="Заголовок 4 Знак"/>
    <w:rPr>
      <w:kern w:val="24"/>
      <w:sz w:val="24"/>
      <w:szCs w:val="24"/>
      <w:lang w:val="ru-RU" w:eastAsia="ru-RU" w:bidi="ar-SA"/>
    </w:rPr>
  </w:style>
  <w:style w:type="character" w:styleId="af4">
    <w:name w:val="Hyperlink"/>
    <w:uiPriority w:val="99"/>
    <w:rPr>
      <w:color w:val="0000FF"/>
      <w:u w:val="single"/>
    </w:rPr>
  </w:style>
  <w:style w:type="paragraph" w:styleId="af5">
    <w:name w:val="Title"/>
    <w:basedOn w:val="a0"/>
    <w:qFormat/>
    <w:pPr>
      <w:jc w:val="center"/>
    </w:pPr>
    <w:rPr>
      <w:b/>
      <w:bCs/>
      <w:sz w:val="28"/>
      <w:szCs w:val="28"/>
    </w:rPr>
  </w:style>
  <w:style w:type="paragraph" w:customStyle="1" w:styleId="-3">
    <w:name w:val="НД-название"/>
    <w:basedOn w:val="a0"/>
    <w:pPr>
      <w:keepLines/>
      <w:ind w:firstLine="0"/>
      <w:jc w:val="center"/>
    </w:pPr>
    <w:rPr>
      <w:b/>
      <w:bCs/>
      <w:sz w:val="40"/>
      <w:szCs w:val="40"/>
    </w:rPr>
  </w:style>
  <w:style w:type="paragraph" w:customStyle="1" w:styleId="-4">
    <w:name w:val="НД-номер версии"/>
    <w:basedOn w:val="a0"/>
    <w:pPr>
      <w:jc w:val="center"/>
    </w:pPr>
    <w:rPr>
      <w:sz w:val="32"/>
      <w:szCs w:val="32"/>
    </w:rPr>
  </w:style>
  <w:style w:type="paragraph" w:customStyle="1" w:styleId="-5">
    <w:name w:val="НД-обозначение"/>
    <w:basedOn w:val="a0"/>
    <w:pPr>
      <w:spacing w:before="120" w:after="120"/>
      <w:jc w:val="right"/>
    </w:pPr>
    <w:rPr>
      <w:b/>
      <w:bCs/>
      <w:sz w:val="28"/>
      <w:szCs w:val="28"/>
    </w:rPr>
  </w:style>
  <w:style w:type="paragraph" w:styleId="af6">
    <w:name w:val="annotation subject"/>
    <w:basedOn w:val="ad"/>
    <w:next w:val="ad"/>
    <w:semiHidden/>
    <w:rPr>
      <w:b/>
      <w:bCs/>
      <w:sz w:val="20"/>
      <w:szCs w:val="20"/>
    </w:rPr>
  </w:style>
  <w:style w:type="paragraph" w:customStyle="1" w:styleId="---">
    <w:name w:val="НД-Приложение--назв_документа"/>
    <w:basedOn w:val="a0"/>
    <w:autoRedefine/>
    <w:pPr>
      <w:ind w:left="4253" w:firstLine="0"/>
      <w:jc w:val="right"/>
    </w:pPr>
    <w:rPr>
      <w:i/>
      <w:iCs/>
    </w:rPr>
  </w:style>
  <w:style w:type="paragraph" w:customStyle="1" w:styleId="af7">
    <w:name w:val="марк_бук"/>
    <w:basedOn w:val="a"/>
    <w:pPr>
      <w:widowControl/>
      <w:numPr>
        <w:numId w:val="0"/>
      </w:numPr>
      <w:tabs>
        <w:tab w:val="num" w:pos="2357"/>
      </w:tabs>
      <w:ind w:left="1277"/>
    </w:pPr>
    <w:rPr>
      <w:kern w:val="0"/>
      <w:sz w:val="20"/>
      <w:szCs w:val="20"/>
    </w:rPr>
  </w:style>
  <w:style w:type="paragraph" w:styleId="a">
    <w:name w:val="List Bullet"/>
    <w:basedOn w:val="a0"/>
    <w:pPr>
      <w:numPr>
        <w:numId w:val="5"/>
      </w:numPr>
    </w:pPr>
  </w:style>
  <w:style w:type="paragraph" w:customStyle="1" w:styleId="af8">
    <w:name w:val="Внимание"/>
    <w:basedOn w:val="a0"/>
    <w:next w:val="a4"/>
    <w:pPr>
      <w:widowControl/>
      <w:jc w:val="left"/>
    </w:pPr>
    <w:rPr>
      <w:b/>
      <w:bCs/>
      <w:i/>
      <w:iCs/>
      <w:kern w:val="0"/>
      <w:sz w:val="16"/>
      <w:szCs w:val="16"/>
    </w:rPr>
  </w:style>
  <w:style w:type="paragraph" w:styleId="af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CharChar">
    <w:name w:val="Знак Char Char Знак Char Char Знак Char Char"/>
    <w:basedOn w:val="a0"/>
    <w:pPr>
      <w:widowControl/>
      <w:autoSpaceDE/>
      <w:autoSpaceDN/>
      <w:spacing w:after="160" w:line="240" w:lineRule="exact"/>
      <w:ind w:firstLine="0"/>
      <w:jc w:val="left"/>
    </w:pPr>
    <w:rPr>
      <w:rFonts w:ascii="Tahoma" w:hAnsi="Tahoma" w:cs="Tahoma"/>
      <w:kern w:val="0"/>
      <w:sz w:val="18"/>
      <w:szCs w:val="18"/>
      <w:lang w:val="en-US" w:eastAsia="en-US"/>
    </w:rPr>
  </w:style>
  <w:style w:type="paragraph" w:styleId="22">
    <w:name w:val="toc 2"/>
    <w:basedOn w:val="a0"/>
    <w:next w:val="a0"/>
    <w:autoRedefine/>
    <w:semiHidden/>
    <w:pPr>
      <w:ind w:left="240"/>
    </w:pPr>
  </w:style>
  <w:style w:type="paragraph" w:styleId="33">
    <w:name w:val="toc 3"/>
    <w:basedOn w:val="a0"/>
    <w:next w:val="a0"/>
    <w:autoRedefine/>
    <w:semiHidden/>
    <w:pPr>
      <w:ind w:left="480"/>
    </w:pPr>
  </w:style>
  <w:style w:type="paragraph" w:styleId="41">
    <w:name w:val="toc 4"/>
    <w:basedOn w:val="a0"/>
    <w:next w:val="a0"/>
    <w:autoRedefine/>
    <w:semiHidden/>
    <w:pPr>
      <w:ind w:left="720"/>
    </w:pPr>
  </w:style>
  <w:style w:type="character" w:customStyle="1" w:styleId="afa">
    <w:name w:val="Термин"/>
    <w:qFormat/>
    <w:rPr>
      <w:rFonts w:ascii="Times New Roman" w:hAnsi="Times New Roman"/>
      <w:b/>
      <w:i/>
    </w:rPr>
  </w:style>
  <w:style w:type="character" w:styleId="afb">
    <w:name w:val="FollowedHyperlink"/>
    <w:rPr>
      <w:color w:val="800080"/>
      <w:u w:val="single"/>
    </w:rPr>
  </w:style>
  <w:style w:type="paragraph" w:styleId="afc">
    <w:name w:val="Revision"/>
    <w:hidden/>
    <w:semiHidden/>
    <w:rPr>
      <w:rFonts w:eastAsia="Calibri"/>
      <w:sz w:val="24"/>
      <w:szCs w:val="24"/>
      <w:lang w:eastAsia="en-US"/>
    </w:rPr>
  </w:style>
  <w:style w:type="paragraph" w:customStyle="1" w:styleId="10">
    <w:name w:val="Изменения 1."/>
    <w:basedOn w:val="1"/>
    <w:autoRedefine/>
    <w:rsid w:val="005E758D"/>
    <w:pPr>
      <w:keepLines/>
      <w:widowControl/>
      <w:numPr>
        <w:numId w:val="9"/>
      </w:numPr>
      <w:tabs>
        <w:tab w:val="clear" w:pos="426"/>
        <w:tab w:val="clear" w:pos="993"/>
        <w:tab w:val="num" w:pos="284"/>
      </w:tabs>
      <w:suppressAutoHyphens w:val="0"/>
      <w:spacing w:before="360"/>
      <w:ind w:left="284" w:hanging="284"/>
      <w:jc w:val="both"/>
    </w:pPr>
    <w:rPr>
      <w:bCs w:val="0"/>
      <w:i/>
      <w:caps w:val="0"/>
      <w:sz w:val="24"/>
      <w:szCs w:val="24"/>
    </w:rPr>
  </w:style>
  <w:style w:type="paragraph" w:customStyle="1" w:styleId="11">
    <w:name w:val="Изменения 1.1."/>
    <w:basedOn w:val="a0"/>
    <w:autoRedefine/>
    <w:rsid w:val="005E758D"/>
    <w:pPr>
      <w:numPr>
        <w:ilvl w:val="1"/>
        <w:numId w:val="9"/>
      </w:numPr>
      <w:tabs>
        <w:tab w:val="clear" w:pos="1571"/>
        <w:tab w:val="num" w:pos="709"/>
      </w:tabs>
      <w:spacing w:before="100" w:beforeAutospacing="1"/>
      <w:ind w:left="709" w:hanging="425"/>
    </w:pPr>
    <w:rPr>
      <w:i/>
      <w:kern w:val="28"/>
    </w:rPr>
  </w:style>
  <w:style w:type="paragraph" w:customStyle="1" w:styleId="111">
    <w:name w:val="Изменения 1.1.1."/>
    <w:basedOn w:val="a0"/>
    <w:autoRedefine/>
    <w:rsid w:val="005E758D"/>
    <w:pPr>
      <w:numPr>
        <w:ilvl w:val="2"/>
        <w:numId w:val="9"/>
      </w:numPr>
      <w:tabs>
        <w:tab w:val="clear" w:pos="2564"/>
        <w:tab w:val="num" w:pos="1560"/>
      </w:tabs>
      <w:spacing w:before="120"/>
      <w:ind w:left="0" w:firstLine="852"/>
    </w:pPr>
    <w:rPr>
      <w:i/>
    </w:rPr>
  </w:style>
  <w:style w:type="paragraph" w:customStyle="1" w:styleId="1111">
    <w:name w:val="Изменения 1.1.1.1."/>
    <w:basedOn w:val="111"/>
    <w:autoRedefine/>
    <w:rsid w:val="001110AA"/>
    <w:pPr>
      <w:numPr>
        <w:ilvl w:val="0"/>
        <w:numId w:val="0"/>
      </w:numPr>
      <w:tabs>
        <w:tab w:val="num" w:pos="993"/>
      </w:tabs>
      <w:ind w:left="709"/>
    </w:pPr>
  </w:style>
  <w:style w:type="paragraph" w:customStyle="1" w:styleId="23">
    <w:name w:val="Заг 2!"/>
    <w:basedOn w:val="2"/>
    <w:autoRedefine/>
    <w:rsid w:val="001E549B"/>
    <w:pPr>
      <w:numPr>
        <w:ilvl w:val="0"/>
        <w:numId w:val="0"/>
      </w:numPr>
      <w:spacing w:beforeAutospacing="1"/>
      <w:ind w:firstLine="743"/>
    </w:pPr>
    <w:rPr>
      <w:b/>
    </w:rPr>
  </w:style>
  <w:style w:type="character" w:customStyle="1" w:styleId="afd">
    <w:name w:val="Обычный без отступа Знак"/>
    <w:rsid w:val="001110AA"/>
    <w:rPr>
      <w:kern w:val="24"/>
      <w:sz w:val="24"/>
      <w:szCs w:val="24"/>
      <w:lang w:val="ru-RU" w:eastAsia="ru-RU" w:bidi="ar-SA"/>
    </w:rPr>
  </w:style>
  <w:style w:type="paragraph" w:customStyle="1" w:styleId="afe">
    <w:name w:val="a"/>
    <w:basedOn w:val="a0"/>
    <w:rsid w:val="001110AA"/>
    <w:pPr>
      <w:widowControl/>
      <w:autoSpaceDE/>
      <w:autoSpaceDN/>
      <w:spacing w:before="100" w:beforeAutospacing="1" w:after="100" w:afterAutospacing="1"/>
      <w:ind w:firstLine="0"/>
      <w:jc w:val="left"/>
    </w:pPr>
    <w:rPr>
      <w:kern w:val="0"/>
    </w:rPr>
  </w:style>
  <w:style w:type="character" w:customStyle="1" w:styleId="a7">
    <w:name w:val="Верхний колонтитул Знак"/>
    <w:link w:val="a6"/>
    <w:uiPriority w:val="99"/>
    <w:rsid w:val="00053968"/>
    <w:rPr>
      <w:kern w:val="24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9638A"/>
    <w:rPr>
      <w:kern w:val="24"/>
      <w:sz w:val="24"/>
      <w:szCs w:val="24"/>
    </w:rPr>
  </w:style>
  <w:style w:type="paragraph" w:customStyle="1" w:styleId="ConsPlusNormal">
    <w:name w:val="ConsPlusNormal"/>
    <w:basedOn w:val="a0"/>
    <w:rsid w:val="0067610E"/>
    <w:pPr>
      <w:widowControl/>
      <w:ind w:firstLine="0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">
    <w:name w:val="List Paragraph"/>
    <w:basedOn w:val="a0"/>
    <w:uiPriority w:val="34"/>
    <w:qFormat/>
    <w:rsid w:val="00866A7F"/>
    <w:pPr>
      <w:widowControl/>
      <w:autoSpaceDE/>
      <w:autoSpaceDN/>
      <w:ind w:left="720" w:firstLine="0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f0">
    <w:name w:val="Table Grid"/>
    <w:basedOn w:val="a2"/>
    <w:rsid w:val="0077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Plain Text"/>
    <w:basedOn w:val="a0"/>
    <w:link w:val="aff2"/>
    <w:rsid w:val="00C7031A"/>
    <w:pPr>
      <w:widowControl/>
      <w:autoSpaceDE/>
      <w:autoSpaceDN/>
      <w:ind w:firstLine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ff2">
    <w:name w:val="Текст Знак"/>
    <w:link w:val="aff1"/>
    <w:rsid w:val="00C7031A"/>
    <w:rPr>
      <w:rFonts w:ascii="Courier New" w:hAnsi="Courier New"/>
    </w:rPr>
  </w:style>
  <w:style w:type="character" w:customStyle="1" w:styleId="apple-converted-space">
    <w:name w:val="apple-converted-space"/>
    <w:rsid w:val="006B51B3"/>
  </w:style>
  <w:style w:type="paragraph" w:styleId="aff3">
    <w:name w:val="Normal (Web)"/>
    <w:basedOn w:val="a0"/>
    <w:uiPriority w:val="99"/>
    <w:unhideWhenUsed/>
    <w:rsid w:val="008D5093"/>
    <w:pPr>
      <w:widowControl/>
      <w:autoSpaceDE/>
      <w:autoSpaceDN/>
      <w:spacing w:after="225" w:line="330" w:lineRule="atLeast"/>
      <w:ind w:firstLine="0"/>
      <w:jc w:val="left"/>
    </w:pPr>
    <w:rPr>
      <w:rFonts w:eastAsia="Calibri"/>
      <w:kern w:val="0"/>
    </w:rPr>
  </w:style>
  <w:style w:type="character" w:customStyle="1" w:styleId="tgc">
    <w:name w:val="_tgc"/>
    <w:rsid w:val="00507217"/>
  </w:style>
  <w:style w:type="character" w:customStyle="1" w:styleId="ae">
    <w:name w:val="Текст примечания Знак"/>
    <w:basedOn w:val="a1"/>
    <w:link w:val="ad"/>
    <w:uiPriority w:val="99"/>
    <w:semiHidden/>
    <w:rsid w:val="00927221"/>
    <w:rPr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/registries1/DocLib5/App08&#1040;-&#1056;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E1C9-D479-4F79-A78A-3E65C61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17</Pages>
  <Words>5102</Words>
  <Characters>35792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НОМОС-БАНК ПРИЛОЖЕНИЕ 22 К РЕГЛАМЕНТУ</vt:lpstr>
    </vt:vector>
  </TitlesOfParts>
  <Company>NOMOS</Company>
  <LinksUpToDate>false</LinksUpToDate>
  <CharactersWithSpaces>40813</CharactersWithSpaces>
  <SharedDoc>false</SharedDoc>
  <HLinks>
    <vt:vector size="72" baseType="variant"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_Toc459966153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_Toc459966152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_Toc459966151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_Toc459966150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_Toc459966149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_Toc459966148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_Toc459966147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_Toc459966146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_Toc459966145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_Toc459966144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_Toc459966143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_Toc459966142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НОМОС-БАНК ПРИЛОЖЕНИЕ 22 К РЕГЛАМЕНТУ</dc:title>
  <dc:subject/>
  <dc:creator>Закривидорога Е.В.</dc:creator>
  <cp:keywords/>
  <cp:lastModifiedBy>Мариенко Алексей Викторович</cp:lastModifiedBy>
  <cp:revision>34</cp:revision>
  <cp:lastPrinted>2017-01-25T08:53:00Z</cp:lastPrinted>
  <dcterms:created xsi:type="dcterms:W3CDTF">2023-11-08T13:44:00Z</dcterms:created>
  <dcterms:modified xsi:type="dcterms:W3CDTF">2023-12-18T12:39:00Z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divisions">
    <vt:lpwstr>1;#Все подразделения</vt:lpwstr>
  </property>
  <property fmtid="{D5CDD505-2E9C-101B-9397-08002B2CF9AE}" pid="3" name="ActivityDirection">
    <vt:lpwstr>11;#Операции на финансовых рынках</vt:lpwstr>
  </property>
  <property fmtid="{D5CDD505-2E9C-101B-9397-08002B2CF9AE}" pid="4" name="Regulationindication">
    <vt:lpwstr>ОНД-102</vt:lpwstr>
  </property>
  <property fmtid="{D5CDD505-2E9C-101B-9397-08002B2CF9AE}" pid="5" name="DocBeginDate">
    <vt:lpwstr>2010-07-01T00:00:00Z</vt:lpwstr>
  </property>
  <property fmtid="{D5CDD505-2E9C-101B-9397-08002B2CF9AE}" pid="6" name="ProductsRegistryUsing">
    <vt:lpwstr>0</vt:lpwstr>
  </property>
  <property fmtid="{D5CDD505-2E9C-101B-9397-08002B2CF9AE}" pid="7" name="Номер отменяющего документа">
    <vt:lpwstr/>
  </property>
  <property fmtid="{D5CDD505-2E9C-101B-9397-08002B2CF9AE}" pid="8" name="DocVersion">
    <vt:lpwstr>3.3.</vt:lpwstr>
  </property>
  <property fmtid="{D5CDD505-2E9C-101B-9397-08002B2CF9AE}" pid="9" name="name_obz">
    <vt:lpwstr>Приложение №20. Порядок обмена сообщениями  и обеспечения технического доступа к информационно-торговым системам  NetInvestor и QUIK</vt:lpwstr>
  </property>
  <property fmtid="{D5CDD505-2E9C-101B-9397-08002B2CF9AE}" pid="10" name="Regulation">
    <vt:lpwstr>3842</vt:lpwstr>
  </property>
  <property fmtid="{D5CDD505-2E9C-101B-9397-08002B2CF9AE}" pid="11" name="SubmitDocDate">
    <vt:lpwstr>2010-06-10T00:00:00Z</vt:lpwstr>
  </property>
  <property fmtid="{D5CDD505-2E9C-101B-9397-08002B2CF9AE}" pid="12" name="ContentType">
    <vt:lpwstr>Документ</vt:lpwstr>
  </property>
  <property fmtid="{D5CDD505-2E9C-101B-9397-08002B2CF9AE}" pid="13" name="EnclosureType">
    <vt:lpwstr>1</vt:lpwstr>
  </property>
  <property fmtid="{D5CDD505-2E9C-101B-9397-08002B2CF9AE}" pid="14" name="SubmitDocType">
    <vt:lpwstr>1</vt:lpwstr>
  </property>
  <property fmtid="{D5CDD505-2E9C-101B-9397-08002B2CF9AE}" pid="15" name="Title0">
    <vt:lpwstr>532</vt:lpwstr>
  </property>
  <property fmtid="{D5CDD505-2E9C-101B-9397-08002B2CF9AE}" pid="16" name="SubdivisionCreator">
    <vt:lpwstr>13</vt:lpwstr>
  </property>
  <property fmtid="{D5CDD505-2E9C-101B-9397-08002B2CF9AE}" pid="17" name="RegistrationDate">
    <vt:lpwstr>2007-06-15T00:00:00Z</vt:lpwstr>
  </property>
  <property fmtid="{D5CDD505-2E9C-101B-9397-08002B2CF9AE}" pid="18" name="Status">
    <vt:lpwstr>1</vt:lpwstr>
  </property>
  <property fmtid="{D5CDD505-2E9C-101B-9397-08002B2CF9AE}" pid="19" name="Creator">
    <vt:lpwstr>Пелевина М.В. </vt:lpwstr>
  </property>
</Properties>
</file>